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5D810" w14:textId="1C7D5B2B" w:rsidR="004C295A" w:rsidRPr="00A67549" w:rsidRDefault="00C76FAA" w:rsidP="0044158F">
      <w:pPr>
        <w:pStyle w:val="Heading1"/>
        <w:spacing w:after="0"/>
        <w:rPr>
          <w:sz w:val="32"/>
          <w:szCs w:val="12"/>
          <w:lang w:val="en-AU"/>
        </w:rPr>
      </w:pPr>
      <w:r>
        <w:rPr>
          <w:sz w:val="32"/>
          <w:szCs w:val="12"/>
          <w:lang w:val="en-AU"/>
        </w:rPr>
        <w:t>Neonatal IV antibiotic administration</w:t>
      </w:r>
      <w:r w:rsidR="00290871" w:rsidRPr="00A67549">
        <w:rPr>
          <w:sz w:val="32"/>
          <w:szCs w:val="12"/>
          <w:lang w:val="en-AU"/>
        </w:rPr>
        <w:t xml:space="preserve"> – Clinical Assessment Tool</w:t>
      </w:r>
    </w:p>
    <w:p w14:paraId="25DECDAF" w14:textId="183E11C8" w:rsidR="004C295A" w:rsidRPr="00613AB2" w:rsidRDefault="00290871" w:rsidP="0044158F">
      <w:pPr>
        <w:tabs>
          <w:tab w:val="left" w:pos="851"/>
          <w:tab w:val="left" w:pos="4536"/>
        </w:tabs>
        <w:spacing w:before="240"/>
      </w:pPr>
      <w:r>
        <w:t xml:space="preserve">Name: </w:t>
      </w:r>
      <w:r w:rsidR="004C295A" w:rsidRPr="00613AB2">
        <w:t xml:space="preserve"> </w:t>
      </w:r>
      <w: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>HE#: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5E9E8E8F" w14:textId="78916B98" w:rsidR="00A67549" w:rsidRPr="008634C9" w:rsidRDefault="00A67549" w:rsidP="00A67549">
      <w:pPr>
        <w:rPr>
          <w:rFonts w:ascii="Calibri" w:eastAsia="Times New Roman" w:hAnsi="Calibri"/>
          <w:b/>
          <w:sz w:val="28"/>
          <w:szCs w:val="18"/>
          <w:lang w:eastAsia="en-AU"/>
        </w:rPr>
      </w:pPr>
      <w:r w:rsidRPr="008634C9">
        <w:rPr>
          <w:sz w:val="22"/>
          <w:szCs w:val="20"/>
        </w:rPr>
        <w:t xml:space="preserve">Demonstrates the required understanding and clinical skills for </w:t>
      </w:r>
      <w:r w:rsidR="00C76FAA">
        <w:rPr>
          <w:sz w:val="22"/>
          <w:szCs w:val="20"/>
        </w:rPr>
        <w:t>administering IV antibiotics to the newborn.</w:t>
      </w:r>
    </w:p>
    <w:p w14:paraId="5BE92770" w14:textId="2AB32F09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0F815B61" w14:textId="0B09D9F9" w:rsidR="00A734C7" w:rsidRDefault="00A734C7" w:rsidP="00C76FAA">
      <w:pPr>
        <w:pStyle w:val="ListParagraph"/>
        <w:numPr>
          <w:ilvl w:val="0"/>
          <w:numId w:val="20"/>
        </w:numPr>
        <w:spacing w:after="0"/>
        <w:rPr>
          <w:sz w:val="22"/>
          <w:szCs w:val="20"/>
          <w:lang w:eastAsia="x-none"/>
        </w:rPr>
      </w:pPr>
      <w:r w:rsidRPr="00C76FAA">
        <w:rPr>
          <w:sz w:val="22"/>
          <w:szCs w:val="20"/>
          <w:lang w:eastAsia="x-none"/>
        </w:rPr>
        <w:t>Applicable for initial competency and staff with previous competency or competency from other health service.</w:t>
      </w:r>
    </w:p>
    <w:p w14:paraId="42879501" w14:textId="77777777" w:rsidR="00C76FAA" w:rsidRDefault="00C76FAA" w:rsidP="00C76FAA">
      <w:pPr>
        <w:pStyle w:val="ListParagraph"/>
        <w:numPr>
          <w:ilvl w:val="0"/>
          <w:numId w:val="20"/>
        </w:numPr>
        <w:tabs>
          <w:tab w:val="left" w:pos="176"/>
          <w:tab w:val="left" w:leader="underscore" w:pos="3828"/>
        </w:tabs>
        <w:spacing w:after="0"/>
        <w:rPr>
          <w:rFonts w:cs="Arial"/>
          <w:sz w:val="22"/>
        </w:rPr>
      </w:pPr>
      <w:r w:rsidRPr="006E1FB7">
        <w:rPr>
          <w:rFonts w:cs="Arial"/>
          <w:sz w:val="22"/>
        </w:rPr>
        <w:t xml:space="preserve">Clinical competency requirements </w:t>
      </w:r>
      <w:r w:rsidRPr="006E1FB7">
        <w:rPr>
          <w:rFonts w:cs="Arial"/>
          <w:b/>
          <w:sz w:val="22"/>
        </w:rPr>
        <w:t>MUST NOT</w:t>
      </w:r>
      <w:r w:rsidRPr="006E1FB7">
        <w:rPr>
          <w:rFonts w:cs="Arial"/>
          <w:sz w:val="22"/>
        </w:rPr>
        <w:t xml:space="preserve"> be undertaken until the theory competency requirements are completed.</w:t>
      </w:r>
    </w:p>
    <w:p w14:paraId="1BF5EA10" w14:textId="17465A5B" w:rsidR="00C76FAA" w:rsidRPr="00C76FAA" w:rsidRDefault="00C76FAA" w:rsidP="00C76FAA">
      <w:pPr>
        <w:pStyle w:val="ListParagraph"/>
        <w:numPr>
          <w:ilvl w:val="0"/>
          <w:numId w:val="20"/>
        </w:numPr>
        <w:tabs>
          <w:tab w:val="left" w:pos="176"/>
          <w:tab w:val="left" w:leader="underscore" w:pos="3828"/>
        </w:tabs>
        <w:spacing w:after="0"/>
        <w:rPr>
          <w:rFonts w:cs="Arial"/>
          <w:sz w:val="22"/>
        </w:rPr>
      </w:pPr>
      <w:r>
        <w:rPr>
          <w:rFonts w:cs="Arial"/>
          <w:sz w:val="22"/>
        </w:rPr>
        <w:t>Midwifery students do not administer neonatal IV medications until their SCN allocation.</w:t>
      </w:r>
    </w:p>
    <w:p w14:paraId="53EC82AD" w14:textId="23D40779" w:rsidR="004C295A" w:rsidRPr="00A67549" w:rsidRDefault="00A67549" w:rsidP="0090330B">
      <w:pPr>
        <w:pStyle w:val="Heading3"/>
        <w:rPr>
          <w:color w:val="495965" w:themeColor="text1"/>
          <w:lang w:val="en-AU"/>
        </w:rPr>
      </w:pPr>
      <w:r>
        <w:rPr>
          <w:color w:val="495965" w:themeColor="text1"/>
          <w:lang w:val="en-AU"/>
        </w:rPr>
        <w:t>Theory</w:t>
      </w:r>
    </w:p>
    <w:p w14:paraId="19A63902" w14:textId="679C8953" w:rsidR="00A67549" w:rsidRDefault="00A67549" w:rsidP="00A67549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Read </w:t>
      </w:r>
      <w:r w:rsidR="00C1322A">
        <w:rPr>
          <w:sz w:val="22"/>
          <w:szCs w:val="20"/>
          <w:lang w:eastAsia="x-none"/>
        </w:rPr>
        <w:t>clinical guidelines</w:t>
      </w:r>
      <w:r w:rsidRPr="008634C9">
        <w:rPr>
          <w:sz w:val="22"/>
          <w:szCs w:val="20"/>
          <w:lang w:eastAsia="x-none"/>
        </w:rPr>
        <w:t xml:space="preserve">: </w:t>
      </w:r>
    </w:p>
    <w:p w14:paraId="711D2172" w14:textId="77777777" w:rsidR="006B3B70" w:rsidRPr="00512C3F" w:rsidRDefault="006B3B70" w:rsidP="006B3B70">
      <w:pPr>
        <w:pStyle w:val="ListParagraph"/>
        <w:numPr>
          <w:ilvl w:val="0"/>
          <w:numId w:val="22"/>
        </w:numPr>
        <w:spacing w:after="0" w:line="276" w:lineRule="auto"/>
        <w:rPr>
          <w:rStyle w:val="Hyperlink"/>
          <w:rFonts w:cs="Arial"/>
          <w:color w:val="495965"/>
          <w:sz w:val="22"/>
          <w:u w:val="none"/>
        </w:rPr>
      </w:pPr>
      <w:hyperlink r:id="rId11" w:history="1">
        <w:r w:rsidRPr="00C153E2">
          <w:rPr>
            <w:rStyle w:val="Hyperlink"/>
            <w:rFonts w:cs="Arial"/>
            <w:sz w:val="22"/>
          </w:rPr>
          <w:t>https://healthpoint.hdwa.health.wa.gov.au/policies/Policies/NMAHS/WNHS/WNHS.PMM.MedicationAdministration.pdf</w:t>
        </w:r>
      </w:hyperlink>
    </w:p>
    <w:p w14:paraId="190F51A1" w14:textId="7BBB466E" w:rsidR="00512C3F" w:rsidRPr="007A734E" w:rsidRDefault="00512C3F" w:rsidP="006B3B70">
      <w:pPr>
        <w:pStyle w:val="ListParagraph"/>
        <w:numPr>
          <w:ilvl w:val="0"/>
          <w:numId w:val="22"/>
        </w:numPr>
        <w:spacing w:after="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Recommend attendance at </w:t>
      </w:r>
      <w:proofErr w:type="spellStart"/>
      <w:r>
        <w:rPr>
          <w:rFonts w:cs="Arial"/>
          <w:sz w:val="22"/>
        </w:rPr>
        <w:t>inservice</w:t>
      </w:r>
      <w:proofErr w:type="spellEnd"/>
      <w:r>
        <w:rPr>
          <w:rFonts w:cs="Arial"/>
          <w:sz w:val="22"/>
        </w:rPr>
        <w:t xml:space="preserve"> (if available)</w:t>
      </w:r>
    </w:p>
    <w:p w14:paraId="3BE9C879" w14:textId="32A08AAC" w:rsidR="00C1322A" w:rsidRDefault="00C1322A" w:rsidP="00C1322A">
      <w:pPr>
        <w:pStyle w:val="Heading3"/>
        <w:rPr>
          <w:color w:val="495965" w:themeColor="text1"/>
          <w:lang w:val="en-AU"/>
        </w:rPr>
      </w:pPr>
      <w:r w:rsidRPr="00C1322A">
        <w:rPr>
          <w:color w:val="495965" w:themeColor="text1"/>
          <w:lang w:val="en-AU"/>
        </w:rPr>
        <w:t>Supervised practice</w:t>
      </w:r>
    </w:p>
    <w:p w14:paraId="5E89DD4D" w14:textId="721A96D7" w:rsidR="00A734C7" w:rsidRPr="00A734C7" w:rsidRDefault="00A734C7" w:rsidP="00A734C7">
      <w:pPr>
        <w:tabs>
          <w:tab w:val="left" w:pos="176"/>
          <w:tab w:val="left" w:leader="underscore" w:pos="3828"/>
        </w:tabs>
        <w:rPr>
          <w:rFonts w:cs="Arial"/>
          <w:sz w:val="22"/>
        </w:rPr>
      </w:pPr>
      <w:r w:rsidRPr="00A734C7">
        <w:rPr>
          <w:rFonts w:cs="Arial"/>
          <w:sz w:val="22"/>
        </w:rPr>
        <w:t>Supervisor – Health care professional deemed competent in administration</w:t>
      </w:r>
      <w:r>
        <w:rPr>
          <w:rFonts w:cs="Arial"/>
          <w:sz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44"/>
        <w:gridCol w:w="1184"/>
        <w:gridCol w:w="1366"/>
      </w:tblGrid>
      <w:tr w:rsidR="00B9364D" w14:paraId="18882E5A" w14:textId="77777777" w:rsidTr="00B9364D">
        <w:tc>
          <w:tcPr>
            <w:tcW w:w="7644" w:type="dxa"/>
            <w:shd w:val="clear" w:color="auto" w:fill="495965" w:themeFill="text1"/>
          </w:tcPr>
          <w:p w14:paraId="12CD0914" w14:textId="11E918ED" w:rsidR="00C1322A" w:rsidRPr="003D4F19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D4F19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</w:t>
            </w:r>
          </w:p>
        </w:tc>
        <w:tc>
          <w:tcPr>
            <w:tcW w:w="1184" w:type="dxa"/>
            <w:shd w:val="clear" w:color="auto" w:fill="495965" w:themeFill="text1"/>
          </w:tcPr>
          <w:p w14:paraId="5EE1F15F" w14:textId="1EE32324" w:rsidR="00C1322A" w:rsidRPr="003D4F19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D4F19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366" w:type="dxa"/>
            <w:shd w:val="clear" w:color="auto" w:fill="495965" w:themeFill="text1"/>
          </w:tcPr>
          <w:p w14:paraId="1CF5B0B1" w14:textId="07CFA3BE" w:rsidR="00C1322A" w:rsidRPr="003D4F19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D4F19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B9364D" w14:paraId="4900CCBF" w14:textId="77777777" w:rsidTr="00B9364D">
        <w:tc>
          <w:tcPr>
            <w:tcW w:w="7644" w:type="dxa"/>
          </w:tcPr>
          <w:p w14:paraId="3B66E114" w14:textId="17CD1D63" w:rsidR="00C1322A" w:rsidRPr="00B9364D" w:rsidRDefault="00B9364D" w:rsidP="00B9364D">
            <w:pPr>
              <w:tabs>
                <w:tab w:val="left" w:leader="underscore" w:pos="3828"/>
              </w:tabs>
              <w:spacing w:after="0"/>
              <w:rPr>
                <w:rFonts w:cs="Arial"/>
                <w:sz w:val="22"/>
              </w:rPr>
            </w:pPr>
            <w:r w:rsidRPr="00B9364D">
              <w:rPr>
                <w:rFonts w:cs="Arial"/>
                <w:sz w:val="22"/>
              </w:rPr>
              <w:t xml:space="preserve">Observe demonstration by </w:t>
            </w:r>
            <w:r w:rsidR="006C534A">
              <w:rPr>
                <w:rFonts w:cs="Arial"/>
                <w:sz w:val="22"/>
              </w:rPr>
              <w:t>m</w:t>
            </w:r>
            <w:r w:rsidRPr="00B9364D">
              <w:rPr>
                <w:rFonts w:cs="Arial"/>
                <w:sz w:val="22"/>
              </w:rPr>
              <w:t>idwife</w:t>
            </w:r>
            <w:r w:rsidR="006C534A">
              <w:rPr>
                <w:rFonts w:cs="Arial"/>
                <w:sz w:val="22"/>
              </w:rPr>
              <w:t>/nurse</w:t>
            </w:r>
            <w:r w:rsidRPr="00B9364D">
              <w:rPr>
                <w:rFonts w:cs="Arial"/>
                <w:sz w:val="22"/>
              </w:rPr>
              <w:t xml:space="preserve"> deemed competent in the procedure (or simulation)</w:t>
            </w:r>
          </w:p>
        </w:tc>
        <w:tc>
          <w:tcPr>
            <w:tcW w:w="1184" w:type="dxa"/>
          </w:tcPr>
          <w:p w14:paraId="74D58073" w14:textId="77777777" w:rsidR="00C1322A" w:rsidRDefault="00C1322A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3DADA0DB" w14:textId="77777777" w:rsidR="00C1322A" w:rsidRDefault="00C1322A" w:rsidP="00C1322A">
            <w:pPr>
              <w:rPr>
                <w:lang w:eastAsia="x-none"/>
              </w:rPr>
            </w:pPr>
          </w:p>
        </w:tc>
      </w:tr>
      <w:tr w:rsidR="00B9364D" w14:paraId="6DF87FFA" w14:textId="77777777" w:rsidTr="00B9364D">
        <w:tc>
          <w:tcPr>
            <w:tcW w:w="7644" w:type="dxa"/>
          </w:tcPr>
          <w:p w14:paraId="128C5C46" w14:textId="32EA37DC" w:rsidR="003D4F19" w:rsidRDefault="00B9364D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Clinical practice or simulation administering the neonatal IV medication supervised by midwife/nurse deemed competent</w:t>
            </w:r>
          </w:p>
        </w:tc>
        <w:tc>
          <w:tcPr>
            <w:tcW w:w="1184" w:type="dxa"/>
          </w:tcPr>
          <w:p w14:paraId="2DBCB230" w14:textId="77777777" w:rsidR="003D4F19" w:rsidRDefault="003D4F19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3B0C9D3A" w14:textId="77777777" w:rsidR="003D4F19" w:rsidRDefault="003D4F19" w:rsidP="00C1322A">
            <w:pPr>
              <w:rPr>
                <w:lang w:eastAsia="x-none"/>
              </w:rPr>
            </w:pPr>
          </w:p>
        </w:tc>
      </w:tr>
      <w:tr w:rsidR="00B9364D" w14:paraId="62D06057" w14:textId="77777777" w:rsidTr="00B9364D">
        <w:tc>
          <w:tcPr>
            <w:tcW w:w="10194" w:type="dxa"/>
            <w:gridSpan w:val="3"/>
            <w:shd w:val="clear" w:color="auto" w:fill="495965" w:themeFill="text1"/>
          </w:tcPr>
          <w:p w14:paraId="0510711F" w14:textId="22FB4DB0" w:rsidR="00B9364D" w:rsidRPr="00B9364D" w:rsidRDefault="00B9364D" w:rsidP="00C1322A">
            <w:pPr>
              <w:rPr>
                <w:color w:val="FFFFFF" w:themeColor="background1"/>
                <w:lang w:eastAsia="x-none"/>
              </w:rPr>
            </w:pPr>
            <w:r w:rsidRPr="00B9364D">
              <w:rPr>
                <w:rFonts w:cs="Arial"/>
                <w:b/>
                <w:bCs/>
                <w:color w:val="FFFFFF" w:themeColor="background1"/>
                <w:sz w:val="22"/>
              </w:rPr>
              <w:t>Previous competency (or competency from other health service)</w:t>
            </w:r>
          </w:p>
        </w:tc>
      </w:tr>
      <w:tr w:rsidR="00B9364D" w14:paraId="52260DD1" w14:textId="77777777" w:rsidTr="00B9364D">
        <w:tc>
          <w:tcPr>
            <w:tcW w:w="7644" w:type="dxa"/>
          </w:tcPr>
          <w:p w14:paraId="164CB64E" w14:textId="71CD6609" w:rsidR="003D4F19" w:rsidRDefault="00B9364D" w:rsidP="00B9364D">
            <w:pPr>
              <w:spacing w:after="0" w:line="276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Complete theory components</w:t>
            </w:r>
          </w:p>
        </w:tc>
        <w:tc>
          <w:tcPr>
            <w:tcW w:w="1184" w:type="dxa"/>
          </w:tcPr>
          <w:p w14:paraId="17FA899B" w14:textId="77777777" w:rsidR="003D4F19" w:rsidRDefault="003D4F19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017DCCCA" w14:textId="77777777" w:rsidR="003D4F19" w:rsidRDefault="003D4F19" w:rsidP="00C1322A">
            <w:pPr>
              <w:rPr>
                <w:lang w:eastAsia="x-none"/>
              </w:rPr>
            </w:pPr>
          </w:p>
        </w:tc>
      </w:tr>
      <w:tr w:rsidR="00B9364D" w14:paraId="4C1E240F" w14:textId="77777777" w:rsidTr="00B9364D">
        <w:tc>
          <w:tcPr>
            <w:tcW w:w="7644" w:type="dxa"/>
          </w:tcPr>
          <w:p w14:paraId="02E4FC49" w14:textId="71ACBE98" w:rsidR="00B9364D" w:rsidRDefault="00B9364D" w:rsidP="00B9364D">
            <w:pPr>
              <w:spacing w:after="0" w:line="276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Supervised clinical practice (or simulation) administering the neonatal IV medication by midwife/nurse deemed competent</w:t>
            </w:r>
          </w:p>
        </w:tc>
        <w:tc>
          <w:tcPr>
            <w:tcW w:w="1184" w:type="dxa"/>
          </w:tcPr>
          <w:p w14:paraId="25AF2EA6" w14:textId="77777777" w:rsidR="00B9364D" w:rsidRDefault="00B9364D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4C9D5DA3" w14:textId="77777777" w:rsidR="00B9364D" w:rsidRDefault="00B9364D" w:rsidP="00C1322A">
            <w:pPr>
              <w:rPr>
                <w:lang w:eastAsia="x-none"/>
              </w:rPr>
            </w:pPr>
          </w:p>
        </w:tc>
      </w:tr>
      <w:tr w:rsidR="00B9364D" w14:paraId="6DB52B05" w14:textId="77777777" w:rsidTr="00B9364D">
        <w:trPr>
          <w:trHeight w:val="457"/>
        </w:trPr>
        <w:tc>
          <w:tcPr>
            <w:tcW w:w="10194" w:type="dxa"/>
            <w:gridSpan w:val="3"/>
            <w:shd w:val="clear" w:color="auto" w:fill="495965" w:themeFill="text1"/>
          </w:tcPr>
          <w:p w14:paraId="65B862DA" w14:textId="5D7EE4C4" w:rsidR="00B9364D" w:rsidRPr="00B9364D" w:rsidRDefault="00B9364D" w:rsidP="00C1322A">
            <w:pPr>
              <w:rPr>
                <w:color w:val="FFFFFF" w:themeColor="background1"/>
                <w:lang w:eastAsia="x-none"/>
              </w:rPr>
            </w:pPr>
            <w:r w:rsidRPr="00B9364D">
              <w:rPr>
                <w:rFonts w:cs="Arial"/>
                <w:b/>
                <w:color w:val="FFFFFF" w:themeColor="background1"/>
                <w:sz w:val="22"/>
              </w:rPr>
              <w:t>Ongoing competency</w:t>
            </w:r>
          </w:p>
        </w:tc>
      </w:tr>
      <w:tr w:rsidR="00B9364D" w14:paraId="776A7FCB" w14:textId="77777777" w:rsidTr="00B9364D">
        <w:tc>
          <w:tcPr>
            <w:tcW w:w="7644" w:type="dxa"/>
          </w:tcPr>
          <w:p w14:paraId="2E2DFB5C" w14:textId="236116E7" w:rsidR="00B9364D" w:rsidRDefault="00B9364D" w:rsidP="00B9364D">
            <w:pPr>
              <w:spacing w:after="0" w:line="276" w:lineRule="auto"/>
              <w:rPr>
                <w:rFonts w:cs="Arial"/>
                <w:sz w:val="22"/>
              </w:rPr>
            </w:pPr>
            <w:r w:rsidRPr="00E82747">
              <w:rPr>
                <w:rFonts w:cs="Arial"/>
                <w:sz w:val="22"/>
              </w:rPr>
              <w:t>Confirmation on annual PDR document</w:t>
            </w:r>
          </w:p>
        </w:tc>
        <w:tc>
          <w:tcPr>
            <w:tcW w:w="1184" w:type="dxa"/>
          </w:tcPr>
          <w:p w14:paraId="3510BA0F" w14:textId="77777777" w:rsidR="00B9364D" w:rsidRDefault="00B9364D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5DBEAFC8" w14:textId="77777777" w:rsidR="00B9364D" w:rsidRDefault="00B9364D" w:rsidP="00C1322A">
            <w:pPr>
              <w:rPr>
                <w:lang w:eastAsia="x-none"/>
              </w:rPr>
            </w:pPr>
          </w:p>
        </w:tc>
      </w:tr>
    </w:tbl>
    <w:p w14:paraId="454FBED5" w14:textId="77777777" w:rsidR="009C0CF5" w:rsidRDefault="009C0CF5" w:rsidP="00A67549">
      <w:pPr>
        <w:pStyle w:val="Heading2"/>
        <w:rPr>
          <w:sz w:val="28"/>
          <w:szCs w:val="24"/>
        </w:rPr>
      </w:pPr>
    </w:p>
    <w:p w14:paraId="19CFBE22" w14:textId="08181B54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Performance criteria</w:t>
      </w:r>
    </w:p>
    <w:p w14:paraId="1FDD12C6" w14:textId="65267469" w:rsidR="001405A6" w:rsidRPr="008634C9" w:rsidRDefault="001405A6" w:rsidP="001405A6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To be completed and signed by </w:t>
      </w:r>
      <w:r w:rsidR="00A734C7">
        <w:rPr>
          <w:sz w:val="22"/>
          <w:szCs w:val="20"/>
          <w:lang w:eastAsia="x-none"/>
        </w:rPr>
        <w:t xml:space="preserve">the supervisor. </w:t>
      </w:r>
      <w:r w:rsidRPr="008634C9">
        <w:rPr>
          <w:sz w:val="22"/>
          <w:szCs w:val="20"/>
          <w:lang w:eastAsia="x-none"/>
        </w:rPr>
        <w:t xml:space="preserve"> </w:t>
      </w:r>
      <w:r w:rsidR="00105B19">
        <w:rPr>
          <w:sz w:val="22"/>
          <w:szCs w:val="20"/>
          <w:lang w:eastAsia="x-none"/>
        </w:rPr>
        <w:t>(A=achieved, NA= not achieved)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8642"/>
        <w:gridCol w:w="1552"/>
      </w:tblGrid>
      <w:tr w:rsidR="00A734C7" w14:paraId="3A0CB2CB" w14:textId="77777777" w:rsidTr="003D4F19">
        <w:tc>
          <w:tcPr>
            <w:tcW w:w="4239" w:type="pct"/>
            <w:shd w:val="clear" w:color="auto" w:fill="495965" w:themeFill="text1"/>
          </w:tcPr>
          <w:p w14:paraId="3423D40F" w14:textId="4F994952" w:rsidR="00A734C7" w:rsidRPr="009C0CF5" w:rsidRDefault="0019702E" w:rsidP="008634C9">
            <w:pPr>
              <w:spacing w:after="0"/>
              <w:rPr>
                <w:rFonts w:cs="Arial"/>
                <w:b/>
                <w:bCs/>
                <w:color w:val="FFFFFF" w:themeColor="background1"/>
                <w:sz w:val="22"/>
              </w:rPr>
            </w:pPr>
            <w:r w:rsidRPr="009C0CF5">
              <w:rPr>
                <w:rFonts w:cs="Arial"/>
                <w:b/>
                <w:bCs/>
                <w:color w:val="FFFFFF" w:themeColor="background1"/>
                <w:sz w:val="22"/>
              </w:rPr>
              <w:t xml:space="preserve">Date: </w:t>
            </w:r>
          </w:p>
        </w:tc>
        <w:tc>
          <w:tcPr>
            <w:tcW w:w="761" w:type="pct"/>
            <w:shd w:val="clear" w:color="auto" w:fill="495965" w:themeFill="text1"/>
          </w:tcPr>
          <w:p w14:paraId="5D8B0A08" w14:textId="67B0E16A" w:rsidR="00A734C7" w:rsidRPr="003D4F19" w:rsidRDefault="0019702E" w:rsidP="00977A7A">
            <w:pPr>
              <w:rPr>
                <w:b/>
                <w:bCs/>
                <w:color w:val="FFFFFF" w:themeColor="background1"/>
                <w:sz w:val="22"/>
              </w:rPr>
            </w:pPr>
            <w:r w:rsidRPr="003D4F19">
              <w:rPr>
                <w:b/>
                <w:bCs/>
                <w:color w:val="FFFFFF" w:themeColor="background1"/>
                <w:sz w:val="22"/>
              </w:rPr>
              <w:t>A/NA</w:t>
            </w:r>
          </w:p>
        </w:tc>
      </w:tr>
      <w:tr w:rsidR="0019702E" w14:paraId="53B21F02" w14:textId="77777777" w:rsidTr="0019702E">
        <w:trPr>
          <w:trHeight w:val="258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0CC8AC42" w14:textId="7D04C793" w:rsidR="0019702E" w:rsidRPr="009C0CF5" w:rsidRDefault="0019702E" w:rsidP="00977A7A">
            <w:pPr>
              <w:rPr>
                <w:rFonts w:cs="Arial"/>
                <w:sz w:val="22"/>
              </w:rPr>
            </w:pPr>
            <w:r w:rsidRPr="009C0CF5">
              <w:rPr>
                <w:rFonts w:cs="Arial"/>
                <w:b/>
                <w:bCs/>
                <w:sz w:val="22"/>
              </w:rPr>
              <w:t>Preparation:</w:t>
            </w:r>
          </w:p>
        </w:tc>
      </w:tr>
      <w:tr w:rsidR="00A734C7" w:rsidRPr="00EF517D" w14:paraId="7EA0B16F" w14:textId="77777777" w:rsidTr="00A734C7">
        <w:tc>
          <w:tcPr>
            <w:tcW w:w="4239" w:type="pct"/>
            <w:shd w:val="clear" w:color="auto" w:fill="auto"/>
          </w:tcPr>
          <w:p w14:paraId="62953826" w14:textId="76F894DA" w:rsidR="00A734C7" w:rsidRPr="009C0CF5" w:rsidRDefault="009C0CF5" w:rsidP="0044158F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Confirms consent and provides education to parents</w:t>
            </w:r>
          </w:p>
        </w:tc>
        <w:tc>
          <w:tcPr>
            <w:tcW w:w="761" w:type="pct"/>
          </w:tcPr>
          <w:p w14:paraId="0E521C98" w14:textId="77777777" w:rsidR="00A734C7" w:rsidRPr="00A67549" w:rsidRDefault="00A734C7" w:rsidP="00977A7A">
            <w:pPr>
              <w:rPr>
                <w:sz w:val="22"/>
              </w:rPr>
            </w:pPr>
          </w:p>
        </w:tc>
      </w:tr>
      <w:tr w:rsidR="0019702E" w:rsidRPr="00EF517D" w14:paraId="2F19F895" w14:textId="77777777" w:rsidTr="00A734C7">
        <w:tc>
          <w:tcPr>
            <w:tcW w:w="4239" w:type="pct"/>
            <w:shd w:val="clear" w:color="auto" w:fill="auto"/>
          </w:tcPr>
          <w:p w14:paraId="4CC47CDE" w14:textId="2BCA17C4" w:rsidR="0019702E" w:rsidRPr="009C0CF5" w:rsidRDefault="009C0CF5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Prepares equipment</w:t>
            </w:r>
          </w:p>
        </w:tc>
        <w:tc>
          <w:tcPr>
            <w:tcW w:w="761" w:type="pct"/>
          </w:tcPr>
          <w:p w14:paraId="28F73787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52E8E1EA" w14:textId="77777777" w:rsidTr="00A734C7">
        <w:tc>
          <w:tcPr>
            <w:tcW w:w="4239" w:type="pct"/>
            <w:shd w:val="clear" w:color="auto" w:fill="auto"/>
          </w:tcPr>
          <w:p w14:paraId="554B5E63" w14:textId="576F476F" w:rsidR="0019702E" w:rsidRPr="009C0CF5" w:rsidRDefault="0019702E" w:rsidP="0044158F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Checks “6 rights” of medication administration</w:t>
            </w:r>
          </w:p>
        </w:tc>
        <w:tc>
          <w:tcPr>
            <w:tcW w:w="761" w:type="pct"/>
          </w:tcPr>
          <w:p w14:paraId="4770F161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7D698DAA" w14:textId="77777777" w:rsidTr="0019702E">
        <w:tc>
          <w:tcPr>
            <w:tcW w:w="5000" w:type="pct"/>
            <w:gridSpan w:val="2"/>
            <w:shd w:val="clear" w:color="auto" w:fill="F2F2F2" w:themeFill="background1" w:themeFillShade="F2"/>
          </w:tcPr>
          <w:p w14:paraId="10D95A4A" w14:textId="3517E599" w:rsidR="0019702E" w:rsidRPr="009C0CF5" w:rsidRDefault="0019702E" w:rsidP="00977A7A">
            <w:pPr>
              <w:rPr>
                <w:rFonts w:cs="Arial"/>
                <w:sz w:val="22"/>
              </w:rPr>
            </w:pPr>
            <w:r w:rsidRPr="009C0CF5">
              <w:rPr>
                <w:rFonts w:cs="Arial"/>
                <w:b/>
                <w:bCs/>
                <w:sz w:val="22"/>
              </w:rPr>
              <w:t>Procedure:</w:t>
            </w:r>
          </w:p>
        </w:tc>
      </w:tr>
      <w:tr w:rsidR="0019702E" w:rsidRPr="00EF517D" w14:paraId="297255D8" w14:textId="77777777" w:rsidTr="00A734C7">
        <w:tc>
          <w:tcPr>
            <w:tcW w:w="4239" w:type="pct"/>
            <w:shd w:val="clear" w:color="auto" w:fill="auto"/>
          </w:tcPr>
          <w:p w14:paraId="7C17C81A" w14:textId="62B3D13B" w:rsidR="0019702E" w:rsidRPr="009C0CF5" w:rsidRDefault="009C0CF5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 xml:space="preserve">Performs hand hygiene and </w:t>
            </w:r>
            <w:proofErr w:type="gramStart"/>
            <w:r w:rsidRPr="009C0CF5">
              <w:rPr>
                <w:rFonts w:cs="Arial"/>
                <w:sz w:val="22"/>
              </w:rPr>
              <w:t>dons</w:t>
            </w:r>
            <w:proofErr w:type="gramEnd"/>
            <w:r w:rsidRPr="009C0CF5">
              <w:rPr>
                <w:rFonts w:cs="Arial"/>
                <w:sz w:val="22"/>
              </w:rPr>
              <w:t xml:space="preserve"> gloves</w:t>
            </w:r>
          </w:p>
        </w:tc>
        <w:tc>
          <w:tcPr>
            <w:tcW w:w="761" w:type="pct"/>
          </w:tcPr>
          <w:p w14:paraId="376499F0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55E6CDCA" w14:textId="77777777" w:rsidTr="00A734C7">
        <w:tc>
          <w:tcPr>
            <w:tcW w:w="4239" w:type="pct"/>
            <w:shd w:val="clear" w:color="auto" w:fill="auto"/>
          </w:tcPr>
          <w:p w14:paraId="25BB84C6" w14:textId="1E111F6A" w:rsidR="0019702E" w:rsidRPr="009C0CF5" w:rsidRDefault="009C0CF5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Assesses IV site noting any redness, swelling or inflammation</w:t>
            </w:r>
          </w:p>
        </w:tc>
        <w:tc>
          <w:tcPr>
            <w:tcW w:w="761" w:type="pct"/>
          </w:tcPr>
          <w:p w14:paraId="25E178D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C27FAA2" w14:textId="77777777" w:rsidTr="00A734C7">
        <w:tc>
          <w:tcPr>
            <w:tcW w:w="4239" w:type="pct"/>
            <w:shd w:val="clear" w:color="auto" w:fill="auto"/>
          </w:tcPr>
          <w:p w14:paraId="08FCE31B" w14:textId="1BF06B29" w:rsidR="0019702E" w:rsidRPr="009C0CF5" w:rsidRDefault="009C0CF5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Ensures IV site visible during administration</w:t>
            </w:r>
          </w:p>
        </w:tc>
        <w:tc>
          <w:tcPr>
            <w:tcW w:w="761" w:type="pct"/>
          </w:tcPr>
          <w:p w14:paraId="68A13981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5C55E8" w14:textId="77777777" w:rsidTr="009C0CF5">
        <w:trPr>
          <w:trHeight w:val="485"/>
        </w:trPr>
        <w:tc>
          <w:tcPr>
            <w:tcW w:w="4239" w:type="pct"/>
            <w:shd w:val="clear" w:color="auto" w:fill="auto"/>
          </w:tcPr>
          <w:p w14:paraId="4B6D2C3D" w14:textId="314C65F4" w:rsidR="0019702E" w:rsidRPr="009C0CF5" w:rsidRDefault="009C0CF5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Opens appropriate port and ensures 2</w:t>
            </w:r>
            <w:r w:rsidRPr="009C0CF5">
              <w:rPr>
                <w:rFonts w:cs="Arial"/>
                <w:sz w:val="22"/>
                <w:vertAlign w:val="superscript"/>
              </w:rPr>
              <w:t>nd</w:t>
            </w:r>
            <w:r w:rsidRPr="009C0CF5">
              <w:rPr>
                <w:rFonts w:cs="Arial"/>
                <w:sz w:val="22"/>
              </w:rPr>
              <w:t xml:space="preserve"> port is closed</w:t>
            </w:r>
          </w:p>
        </w:tc>
        <w:tc>
          <w:tcPr>
            <w:tcW w:w="761" w:type="pct"/>
          </w:tcPr>
          <w:p w14:paraId="3646EF6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3B739C78" w14:textId="77777777" w:rsidTr="00A734C7">
        <w:tc>
          <w:tcPr>
            <w:tcW w:w="4239" w:type="pct"/>
            <w:shd w:val="clear" w:color="auto" w:fill="auto"/>
          </w:tcPr>
          <w:p w14:paraId="1845C9AC" w14:textId="262CE63B" w:rsidR="0019702E" w:rsidRPr="009C0CF5" w:rsidRDefault="009C0CF5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Cleanses the port with 2% chlorhexidine and 70% alcohol swab and allows to air dry for 30 seconds</w:t>
            </w:r>
          </w:p>
        </w:tc>
        <w:tc>
          <w:tcPr>
            <w:tcW w:w="761" w:type="pct"/>
          </w:tcPr>
          <w:p w14:paraId="48568D32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A4CB7C" w14:textId="77777777" w:rsidTr="00A734C7">
        <w:tc>
          <w:tcPr>
            <w:tcW w:w="4239" w:type="pct"/>
            <w:shd w:val="clear" w:color="auto" w:fill="auto"/>
          </w:tcPr>
          <w:p w14:paraId="23311513" w14:textId="77777777" w:rsidR="009C0CF5" w:rsidRPr="009C0CF5" w:rsidRDefault="009C0CF5" w:rsidP="009C0CF5">
            <w:pPr>
              <w:pStyle w:val="ListBullet"/>
              <w:spacing w:after="0" w:line="240" w:lineRule="auto"/>
              <w:rPr>
                <w:rFonts w:ascii="Arial" w:hAnsi="Arial" w:cs="Arial"/>
              </w:rPr>
            </w:pPr>
            <w:r w:rsidRPr="009C0CF5">
              <w:rPr>
                <w:rFonts w:ascii="Arial" w:hAnsi="Arial" w:cs="Arial"/>
                <w:color w:val="495965" w:themeColor="text1"/>
              </w:rPr>
              <w:t xml:space="preserve">Administers normal saline 0.5mL flush with 3mL </w:t>
            </w:r>
            <w:proofErr w:type="spellStart"/>
            <w:r w:rsidRPr="009C0CF5">
              <w:rPr>
                <w:rFonts w:ascii="Arial" w:hAnsi="Arial" w:cs="Arial"/>
                <w:color w:val="495965" w:themeColor="text1"/>
              </w:rPr>
              <w:t>luer</w:t>
            </w:r>
            <w:proofErr w:type="spellEnd"/>
            <w:r w:rsidRPr="009C0CF5">
              <w:rPr>
                <w:rFonts w:ascii="Arial" w:hAnsi="Arial" w:cs="Arial"/>
                <w:color w:val="495965" w:themeColor="text1"/>
              </w:rPr>
              <w:t>-lock tip checking for:</w:t>
            </w:r>
          </w:p>
          <w:p w14:paraId="2D022E81" w14:textId="77777777" w:rsidR="009C0CF5" w:rsidRPr="009C0CF5" w:rsidRDefault="009C0CF5" w:rsidP="009C0CF5">
            <w:pPr>
              <w:numPr>
                <w:ilvl w:val="1"/>
                <w:numId w:val="26"/>
              </w:numPr>
              <w:spacing w:after="0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Resistance</w:t>
            </w:r>
          </w:p>
          <w:p w14:paraId="47BED1F8" w14:textId="77777777" w:rsidR="009C0CF5" w:rsidRPr="009C0CF5" w:rsidRDefault="009C0CF5" w:rsidP="009C0CF5">
            <w:pPr>
              <w:numPr>
                <w:ilvl w:val="1"/>
                <w:numId w:val="26"/>
              </w:numPr>
              <w:spacing w:after="0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Pain</w:t>
            </w:r>
          </w:p>
          <w:p w14:paraId="0A366FC4" w14:textId="77777777" w:rsidR="009C0CF5" w:rsidRPr="009C0CF5" w:rsidRDefault="009C0CF5" w:rsidP="009C0CF5">
            <w:pPr>
              <w:numPr>
                <w:ilvl w:val="1"/>
                <w:numId w:val="26"/>
              </w:numPr>
              <w:spacing w:after="0"/>
              <w:rPr>
                <w:rFonts w:cs="Arial"/>
                <w:color w:val="495965" w:themeColor="text1"/>
                <w:sz w:val="22"/>
              </w:rPr>
            </w:pPr>
            <w:r w:rsidRPr="009C0CF5">
              <w:rPr>
                <w:rFonts w:cs="Arial"/>
                <w:sz w:val="22"/>
              </w:rPr>
              <w:t xml:space="preserve">Swelling </w:t>
            </w:r>
            <w:r w:rsidRPr="009C0CF5">
              <w:rPr>
                <w:rFonts w:cs="Arial"/>
                <w:color w:val="495965" w:themeColor="text1"/>
                <w:sz w:val="22"/>
              </w:rPr>
              <w:t xml:space="preserve">around the insertion </w:t>
            </w:r>
            <w:proofErr w:type="spellStart"/>
            <w:r w:rsidRPr="009C0CF5">
              <w:rPr>
                <w:rFonts w:cs="Arial"/>
                <w:color w:val="495965" w:themeColor="text1"/>
                <w:sz w:val="22"/>
              </w:rPr>
              <w:t>site</w:t>
            </w:r>
          </w:p>
          <w:p w14:paraId="5126C7A4" w14:textId="656A6FDE" w:rsidR="0019702E" w:rsidRPr="009C0CF5" w:rsidRDefault="009C0CF5" w:rsidP="009C0CF5">
            <w:pPr>
              <w:numPr>
                <w:ilvl w:val="1"/>
                <w:numId w:val="26"/>
              </w:numPr>
              <w:spacing w:after="0"/>
              <w:rPr>
                <w:rFonts w:cs="Arial"/>
                <w:sz w:val="22"/>
              </w:rPr>
            </w:pPr>
            <w:proofErr w:type="spellEnd"/>
            <w:r w:rsidRPr="009C0CF5">
              <w:rPr>
                <w:rFonts w:cs="Arial"/>
                <w:color w:val="495965" w:themeColor="text1"/>
                <w:sz w:val="22"/>
              </w:rPr>
              <w:t xml:space="preserve">Leaking around the </w:t>
            </w:r>
            <w:r w:rsidRPr="009C0CF5">
              <w:rPr>
                <w:rFonts w:cs="Arial"/>
                <w:sz w:val="22"/>
              </w:rPr>
              <w:t>insertion site</w:t>
            </w:r>
          </w:p>
        </w:tc>
        <w:tc>
          <w:tcPr>
            <w:tcW w:w="761" w:type="pct"/>
          </w:tcPr>
          <w:p w14:paraId="57C5CF0B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69A5D12" w14:textId="77777777" w:rsidTr="00A734C7">
        <w:tc>
          <w:tcPr>
            <w:tcW w:w="4239" w:type="pct"/>
            <w:shd w:val="clear" w:color="auto" w:fill="auto"/>
          </w:tcPr>
          <w:p w14:paraId="7290FCA3" w14:textId="1D4CBDF0" w:rsidR="0019702E" w:rsidRPr="009C0CF5" w:rsidRDefault="009C0CF5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Connects the medication syringe to the access port ensuring no air enters the system.  Administers the medication at the specified rate following the recommended administration guidelines</w:t>
            </w:r>
          </w:p>
        </w:tc>
        <w:tc>
          <w:tcPr>
            <w:tcW w:w="761" w:type="pct"/>
          </w:tcPr>
          <w:p w14:paraId="3F38F1A0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31DFF06E" w14:textId="77777777" w:rsidTr="00A734C7">
        <w:tc>
          <w:tcPr>
            <w:tcW w:w="4239" w:type="pct"/>
            <w:shd w:val="clear" w:color="auto" w:fill="auto"/>
          </w:tcPr>
          <w:p w14:paraId="6706CDF4" w14:textId="58979B5C" w:rsidR="0019702E" w:rsidRPr="009C0CF5" w:rsidRDefault="009C0CF5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 xml:space="preserve">Flushes the line with 0.5mL normal saline at the same rate as the medication to avoid rapid infusion of any medication that remains in the IV line/ </w:t>
            </w:r>
            <w:proofErr w:type="spellStart"/>
            <w:r w:rsidRPr="009C0CF5">
              <w:rPr>
                <w:rFonts w:cs="Arial"/>
                <w:sz w:val="22"/>
              </w:rPr>
              <w:t>cannulae</w:t>
            </w:r>
            <w:proofErr w:type="spellEnd"/>
            <w:r w:rsidRPr="009C0CF5">
              <w:rPr>
                <w:rFonts w:cs="Arial"/>
                <w:sz w:val="22"/>
              </w:rPr>
              <w:t>.</w:t>
            </w:r>
          </w:p>
        </w:tc>
        <w:tc>
          <w:tcPr>
            <w:tcW w:w="761" w:type="pct"/>
          </w:tcPr>
          <w:p w14:paraId="0B17FA09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9C0CF5" w:rsidRPr="00EF517D" w14:paraId="1663CF15" w14:textId="77777777" w:rsidTr="00A734C7">
        <w:tc>
          <w:tcPr>
            <w:tcW w:w="4239" w:type="pct"/>
            <w:shd w:val="clear" w:color="auto" w:fill="auto"/>
          </w:tcPr>
          <w:p w14:paraId="43BDC2A6" w14:textId="1A2BADA6" w:rsidR="009C0CF5" w:rsidRPr="009C0CF5" w:rsidRDefault="009C0CF5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Ensures that both clamps are in the closed position</w:t>
            </w:r>
          </w:p>
        </w:tc>
        <w:tc>
          <w:tcPr>
            <w:tcW w:w="761" w:type="pct"/>
          </w:tcPr>
          <w:p w14:paraId="61E12C0D" w14:textId="77777777" w:rsidR="009C0CF5" w:rsidRPr="00A67549" w:rsidRDefault="009C0CF5" w:rsidP="0019702E">
            <w:pPr>
              <w:rPr>
                <w:sz w:val="22"/>
              </w:rPr>
            </w:pPr>
          </w:p>
        </w:tc>
      </w:tr>
      <w:tr w:rsidR="009C0CF5" w:rsidRPr="00EF517D" w14:paraId="5BA7362E" w14:textId="77777777" w:rsidTr="00A734C7">
        <w:tc>
          <w:tcPr>
            <w:tcW w:w="4239" w:type="pct"/>
            <w:shd w:val="clear" w:color="auto" w:fill="auto"/>
          </w:tcPr>
          <w:p w14:paraId="686FE80D" w14:textId="648F522F" w:rsidR="009C0CF5" w:rsidRPr="009C0CF5" w:rsidRDefault="009C0CF5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Performs hand hygiene</w:t>
            </w:r>
          </w:p>
        </w:tc>
        <w:tc>
          <w:tcPr>
            <w:tcW w:w="761" w:type="pct"/>
          </w:tcPr>
          <w:p w14:paraId="28262D5E" w14:textId="77777777" w:rsidR="009C0CF5" w:rsidRPr="00A67549" w:rsidRDefault="009C0CF5" w:rsidP="0019702E">
            <w:pPr>
              <w:rPr>
                <w:sz w:val="22"/>
              </w:rPr>
            </w:pPr>
          </w:p>
        </w:tc>
      </w:tr>
      <w:tr w:rsidR="009C0CF5" w:rsidRPr="00EF517D" w14:paraId="42718B05" w14:textId="77777777" w:rsidTr="00A734C7">
        <w:tc>
          <w:tcPr>
            <w:tcW w:w="4239" w:type="pct"/>
            <w:shd w:val="clear" w:color="auto" w:fill="auto"/>
          </w:tcPr>
          <w:p w14:paraId="2BCD88AA" w14:textId="3776832F" w:rsidR="009C0CF5" w:rsidRPr="009C0CF5" w:rsidRDefault="00596E96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Maintained</w:t>
            </w:r>
            <w:bookmarkStart w:id="0" w:name="_GoBack"/>
            <w:bookmarkEnd w:id="0"/>
            <w:r w:rsidR="009C0CF5" w:rsidRPr="009C0CF5">
              <w:rPr>
                <w:rFonts w:cs="Arial"/>
                <w:sz w:val="22"/>
              </w:rPr>
              <w:t xml:space="preserve"> ANTT principle throughout</w:t>
            </w:r>
          </w:p>
        </w:tc>
        <w:tc>
          <w:tcPr>
            <w:tcW w:w="761" w:type="pct"/>
          </w:tcPr>
          <w:p w14:paraId="0700BD79" w14:textId="77777777" w:rsidR="009C0CF5" w:rsidRPr="00A67549" w:rsidRDefault="009C0CF5" w:rsidP="0019702E">
            <w:pPr>
              <w:rPr>
                <w:sz w:val="22"/>
              </w:rPr>
            </w:pPr>
          </w:p>
        </w:tc>
      </w:tr>
      <w:tr w:rsidR="009C0CF5" w:rsidRPr="00EF517D" w14:paraId="5AD56E0C" w14:textId="77777777" w:rsidTr="00A734C7">
        <w:tc>
          <w:tcPr>
            <w:tcW w:w="4239" w:type="pct"/>
            <w:shd w:val="clear" w:color="auto" w:fill="auto"/>
          </w:tcPr>
          <w:p w14:paraId="60BD0DD5" w14:textId="02F2C3B3" w:rsidR="009C0CF5" w:rsidRPr="009C0CF5" w:rsidRDefault="009C0CF5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Rechecks IV site</w:t>
            </w:r>
          </w:p>
        </w:tc>
        <w:tc>
          <w:tcPr>
            <w:tcW w:w="761" w:type="pct"/>
          </w:tcPr>
          <w:p w14:paraId="4FC8864F" w14:textId="77777777" w:rsidR="009C0CF5" w:rsidRPr="00A67549" w:rsidRDefault="009C0CF5" w:rsidP="0019702E">
            <w:pPr>
              <w:rPr>
                <w:sz w:val="22"/>
              </w:rPr>
            </w:pPr>
          </w:p>
        </w:tc>
      </w:tr>
      <w:tr w:rsidR="0044158F" w:rsidRPr="00EF517D" w14:paraId="028F87A5" w14:textId="77777777" w:rsidTr="0044158F">
        <w:tc>
          <w:tcPr>
            <w:tcW w:w="5000" w:type="pct"/>
            <w:gridSpan w:val="2"/>
            <w:shd w:val="clear" w:color="auto" w:fill="F2F2F2" w:themeFill="background1" w:themeFillShade="F2"/>
          </w:tcPr>
          <w:p w14:paraId="26616C96" w14:textId="30761933" w:rsidR="0044158F" w:rsidRPr="009C0CF5" w:rsidRDefault="0044158F" w:rsidP="0019702E">
            <w:pPr>
              <w:rPr>
                <w:rFonts w:cs="Arial"/>
                <w:b/>
                <w:bCs/>
                <w:sz w:val="22"/>
              </w:rPr>
            </w:pPr>
            <w:r w:rsidRPr="009C0CF5">
              <w:rPr>
                <w:rFonts w:cs="Arial"/>
                <w:b/>
                <w:bCs/>
                <w:sz w:val="22"/>
              </w:rPr>
              <w:t>Post-procedure:</w:t>
            </w:r>
          </w:p>
        </w:tc>
      </w:tr>
      <w:tr w:rsidR="0044158F" w:rsidRPr="00EF517D" w14:paraId="73C79C41" w14:textId="77777777" w:rsidTr="00A734C7">
        <w:tc>
          <w:tcPr>
            <w:tcW w:w="4239" w:type="pct"/>
            <w:shd w:val="clear" w:color="auto" w:fill="auto"/>
          </w:tcPr>
          <w:p w14:paraId="67D927A2" w14:textId="71FCE42D" w:rsidR="0044158F" w:rsidRPr="009C0CF5" w:rsidRDefault="0044158F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Correctly documents administration</w:t>
            </w:r>
          </w:p>
        </w:tc>
        <w:tc>
          <w:tcPr>
            <w:tcW w:w="761" w:type="pct"/>
          </w:tcPr>
          <w:p w14:paraId="10D26DB6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44158F" w:rsidRPr="00EF517D" w14:paraId="56F01299" w14:textId="77777777" w:rsidTr="00A734C7">
        <w:tc>
          <w:tcPr>
            <w:tcW w:w="4239" w:type="pct"/>
            <w:shd w:val="clear" w:color="auto" w:fill="auto"/>
          </w:tcPr>
          <w:p w14:paraId="20592299" w14:textId="24CB8002" w:rsidR="0044158F" w:rsidRPr="009C0CF5" w:rsidRDefault="009C0CF5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9C0CF5">
              <w:rPr>
                <w:rFonts w:cs="Arial"/>
                <w:sz w:val="22"/>
              </w:rPr>
              <w:t>Demonstrates an understanding of correct ongoing IV site assessment. FOUR hourly assessment of IV site.</w:t>
            </w:r>
          </w:p>
        </w:tc>
        <w:tc>
          <w:tcPr>
            <w:tcW w:w="761" w:type="pct"/>
          </w:tcPr>
          <w:p w14:paraId="1691156F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</w:tbl>
    <w:p w14:paraId="224DC052" w14:textId="77777777" w:rsidR="001405A6" w:rsidRDefault="001405A6"/>
    <w:p w14:paraId="2DFA9868" w14:textId="77777777" w:rsidR="009C0CF5" w:rsidRDefault="009C0CF5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39"/>
        <w:gridCol w:w="4239"/>
        <w:gridCol w:w="4516"/>
      </w:tblGrid>
      <w:tr w:rsidR="001405A6" w:rsidRPr="00EF517D" w14:paraId="33DACB4F" w14:textId="77777777" w:rsidTr="001405A6">
        <w:tc>
          <w:tcPr>
            <w:tcW w:w="5000" w:type="pct"/>
            <w:gridSpan w:val="3"/>
            <w:shd w:val="clear" w:color="auto" w:fill="auto"/>
          </w:tcPr>
          <w:p w14:paraId="79E64F70" w14:textId="77777777" w:rsidR="001405A6" w:rsidRDefault="001405A6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lastRenderedPageBreak/>
              <w:t>Comment:</w:t>
            </w:r>
          </w:p>
          <w:p w14:paraId="41445E3F" w14:textId="77777777" w:rsidR="001405A6" w:rsidRDefault="001405A6" w:rsidP="00977A7A"/>
          <w:p w14:paraId="647D2F71" w14:textId="77777777" w:rsidR="001405A6" w:rsidRDefault="001405A6" w:rsidP="00977A7A"/>
          <w:p w14:paraId="494ACAD6" w14:textId="77777777" w:rsidR="008634C9" w:rsidRDefault="008634C9" w:rsidP="00977A7A"/>
          <w:p w14:paraId="30C7AAB9" w14:textId="77777777" w:rsidR="009C0CF5" w:rsidRPr="008D282E" w:rsidRDefault="009C0CF5" w:rsidP="009C0CF5">
            <w:pPr>
              <w:spacing w:line="360" w:lineRule="auto"/>
              <w:ind w:left="11"/>
              <w:rPr>
                <w:rFonts w:cs="Arial"/>
                <w:sz w:val="22"/>
                <w:u w:val="single"/>
              </w:rPr>
            </w:pPr>
            <w:r w:rsidRPr="008D282E">
              <w:rPr>
                <w:rFonts w:cs="Arial"/>
                <w:b/>
                <w:sz w:val="22"/>
                <w:u w:val="single"/>
              </w:rPr>
              <w:t>Recommendation</w:t>
            </w:r>
            <w:r w:rsidRPr="008D282E">
              <w:rPr>
                <w:rFonts w:cs="Arial"/>
                <w:sz w:val="22"/>
              </w:rPr>
              <w:t xml:space="preserve"> </w:t>
            </w:r>
          </w:p>
          <w:p w14:paraId="76ED404A" w14:textId="77777777" w:rsidR="009C0CF5" w:rsidRDefault="009C0CF5" w:rsidP="009C0CF5">
            <w:pPr>
              <w:tabs>
                <w:tab w:val="left" w:pos="567"/>
              </w:tabs>
              <w:spacing w:line="360" w:lineRule="auto"/>
              <w:ind w:left="153" w:right="-951"/>
              <w:rPr>
                <w:rFonts w:cs="Arial"/>
                <w:sz w:val="22"/>
              </w:rPr>
            </w:pPr>
            <w:r>
              <w:rPr>
                <w:rFonts w:ascii="Cambria Math" w:hAnsi="Cambria Math" w:cs="Cambria Math"/>
                <w:sz w:val="22"/>
              </w:rPr>
              <w:t xml:space="preserve">          </w:t>
            </w:r>
            <w:r w:rsidRPr="00471401">
              <w:rPr>
                <w:rFonts w:ascii="Cambria Math" w:hAnsi="Cambria Math" w:cs="Cambria Math"/>
                <w:sz w:val="22"/>
              </w:rPr>
              <w:t>⃝</w:t>
            </w:r>
            <w:r>
              <w:rPr>
                <w:rFonts w:ascii="Cambria Math" w:hAnsi="Cambria Math" w:cs="Cambria Math"/>
                <w:sz w:val="22"/>
              </w:rPr>
              <w:t xml:space="preserve">       </w:t>
            </w:r>
            <w:r>
              <w:rPr>
                <w:rFonts w:cs="Arial"/>
                <w:sz w:val="22"/>
              </w:rPr>
              <w:t xml:space="preserve">Competency achieved               </w:t>
            </w:r>
            <w:r w:rsidRPr="00471401">
              <w:rPr>
                <w:rFonts w:ascii="Cambria Math" w:hAnsi="Cambria Math" w:cs="Cambria Math"/>
                <w:sz w:val="22"/>
              </w:rPr>
              <w:t>⃝</w:t>
            </w:r>
            <w:r>
              <w:rPr>
                <w:rFonts w:cs="Arial"/>
                <w:sz w:val="22"/>
              </w:rPr>
              <w:t xml:space="preserve">   Competency NOT achieved – Plan:</w:t>
            </w:r>
          </w:p>
          <w:p w14:paraId="06C842DC" w14:textId="77777777" w:rsidR="008634C9" w:rsidRDefault="008634C9" w:rsidP="00977A7A"/>
          <w:p w14:paraId="65ACDE58" w14:textId="55545838" w:rsidR="009C0CF5" w:rsidRPr="00EF517D" w:rsidRDefault="009C0CF5" w:rsidP="00977A7A"/>
        </w:tc>
      </w:tr>
      <w:tr w:rsidR="001405A6" w:rsidRPr="00EF517D" w14:paraId="4088373A" w14:textId="77777777" w:rsidTr="0044158F">
        <w:tc>
          <w:tcPr>
            <w:tcW w:w="706" w:type="pct"/>
            <w:shd w:val="clear" w:color="auto" w:fill="auto"/>
          </w:tcPr>
          <w:p w14:paraId="5038A64E" w14:textId="53F304E7" w:rsidR="001405A6" w:rsidRPr="001F3DED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Supervisor:</w:t>
            </w:r>
          </w:p>
        </w:tc>
        <w:tc>
          <w:tcPr>
            <w:tcW w:w="2079" w:type="pct"/>
          </w:tcPr>
          <w:p w14:paraId="2850DC26" w14:textId="53735DA4" w:rsidR="001405A6" w:rsidRPr="001405A6" w:rsidRDefault="001405A6" w:rsidP="00977A7A">
            <w:pPr>
              <w:rPr>
                <w:sz w:val="22"/>
                <w:szCs w:val="20"/>
              </w:rPr>
            </w:pPr>
            <w:r w:rsidRPr="001405A6">
              <w:rPr>
                <w:sz w:val="22"/>
                <w:szCs w:val="20"/>
              </w:rPr>
              <w:t>Name:</w:t>
            </w:r>
          </w:p>
        </w:tc>
        <w:tc>
          <w:tcPr>
            <w:tcW w:w="2215" w:type="pct"/>
          </w:tcPr>
          <w:p w14:paraId="2C0E6D6A" w14:textId="73036419" w:rsidR="001405A6" w:rsidRPr="001405A6" w:rsidRDefault="0044158F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="001405A6" w:rsidRPr="001405A6">
              <w:rPr>
                <w:sz w:val="22"/>
                <w:szCs w:val="20"/>
              </w:rPr>
              <w:t>:</w:t>
            </w:r>
          </w:p>
        </w:tc>
      </w:tr>
      <w:tr w:rsidR="0044158F" w:rsidRPr="00EF517D" w14:paraId="3BCDE947" w14:textId="77777777" w:rsidTr="0044158F">
        <w:tc>
          <w:tcPr>
            <w:tcW w:w="706" w:type="pct"/>
            <w:shd w:val="clear" w:color="auto" w:fill="auto"/>
          </w:tcPr>
          <w:p w14:paraId="0CA3538F" w14:textId="4984FBC7" w:rsidR="0044158F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4294" w:type="pct"/>
            <w:gridSpan w:val="2"/>
          </w:tcPr>
          <w:p w14:paraId="783C491E" w14:textId="77777777" w:rsidR="0044158F" w:rsidRDefault="0044158F" w:rsidP="00977A7A">
            <w:pPr>
              <w:rPr>
                <w:sz w:val="22"/>
                <w:szCs w:val="20"/>
              </w:rPr>
            </w:pPr>
          </w:p>
        </w:tc>
      </w:tr>
    </w:tbl>
    <w:p w14:paraId="2D45F294" w14:textId="77777777" w:rsidR="0044158F" w:rsidRDefault="0044158F" w:rsidP="00CC5EE7"/>
    <w:p w14:paraId="679957AF" w14:textId="77777777" w:rsidR="0044158F" w:rsidRPr="003D4F19" w:rsidRDefault="00CC5EE7" w:rsidP="00CC5EE7">
      <w:pPr>
        <w:rPr>
          <w:sz w:val="22"/>
        </w:rPr>
      </w:pPr>
      <w:r w:rsidRPr="003D4F19">
        <w:rPr>
          <w:sz w:val="22"/>
        </w:rPr>
        <w:t>This document can be made available in alternative formats on request.</w:t>
      </w:r>
    </w:p>
    <w:p w14:paraId="19F72B36" w14:textId="6F77F25A" w:rsidR="00CC5EE7" w:rsidRPr="003D4F19" w:rsidRDefault="00CC5EE7" w:rsidP="00CC5EE7">
      <w:pPr>
        <w:rPr>
          <w:sz w:val="22"/>
        </w:rPr>
      </w:pPr>
      <w:r w:rsidRPr="003D4F19">
        <w:rPr>
          <w:sz w:val="22"/>
        </w:rPr>
        <w:t>© North Metropolitan Health Service 202</w:t>
      </w:r>
      <w:r w:rsidR="0044158F" w:rsidRPr="003D4F19">
        <w:rPr>
          <w:sz w:val="22"/>
        </w:rPr>
        <w:t>4</w:t>
      </w:r>
    </w:p>
    <w:p w14:paraId="78B1CA17" w14:textId="22E29EC7" w:rsidR="00024862" w:rsidRPr="00024862" w:rsidRDefault="00024862" w:rsidP="0023092A"/>
    <w:sectPr w:rsidR="00024862" w:rsidRPr="00024862" w:rsidSect="00290871">
      <w:headerReference w:type="even" r:id="rId12"/>
      <w:headerReference w:type="default" r:id="rId13"/>
      <w:headerReference w:type="first" r:id="rId14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6D56F" w14:textId="77777777" w:rsidR="00F04945" w:rsidRDefault="00F04945" w:rsidP="00613AB2">
      <w:r>
        <w:separator/>
      </w:r>
    </w:p>
  </w:endnote>
  <w:endnote w:type="continuationSeparator" w:id="0">
    <w:p w14:paraId="363D5975" w14:textId="77777777" w:rsidR="00F04945" w:rsidRDefault="00F04945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 M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45D7F" w14:textId="77777777" w:rsidR="00F04945" w:rsidRDefault="00F04945" w:rsidP="00613AB2">
      <w:r>
        <w:separator/>
      </w:r>
    </w:p>
  </w:footnote>
  <w:footnote w:type="continuationSeparator" w:id="0">
    <w:p w14:paraId="6FB26480" w14:textId="77777777" w:rsidR="00F04945" w:rsidRDefault="00F04945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07565" w14:textId="05BD484A" w:rsidR="00426C7A" w:rsidRDefault="00426C7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0B2C8" w14:textId="562D1F83" w:rsidR="00426C7A" w:rsidRDefault="00426C7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0514A" w14:textId="31450674" w:rsidR="00024862" w:rsidRDefault="00635297" w:rsidP="00613AB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394B3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3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1AA633F"/>
    <w:multiLevelType w:val="hybridMultilevel"/>
    <w:tmpl w:val="7B48E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32D4D3B"/>
    <w:multiLevelType w:val="hybridMultilevel"/>
    <w:tmpl w:val="324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8">
    <w:nsid w:val="14DE4B17"/>
    <w:multiLevelType w:val="hybridMultilevel"/>
    <w:tmpl w:val="DE3C38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F50FD"/>
    <w:multiLevelType w:val="hybridMultilevel"/>
    <w:tmpl w:val="4C827EE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8E6670"/>
    <w:multiLevelType w:val="hybridMultilevel"/>
    <w:tmpl w:val="24342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C450F"/>
    <w:multiLevelType w:val="hybridMultilevel"/>
    <w:tmpl w:val="0B66A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755F92"/>
    <w:multiLevelType w:val="hybridMultilevel"/>
    <w:tmpl w:val="589CD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210FBB"/>
    <w:multiLevelType w:val="hybridMultilevel"/>
    <w:tmpl w:val="3446B6A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B302357"/>
    <w:multiLevelType w:val="hybridMultilevel"/>
    <w:tmpl w:val="09AEB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D8220E"/>
    <w:multiLevelType w:val="hybridMultilevel"/>
    <w:tmpl w:val="4FE0A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2"/>
  </w:num>
  <w:num w:numId="4">
    <w:abstractNumId w:val="3"/>
  </w:num>
  <w:num w:numId="5">
    <w:abstractNumId w:val="5"/>
  </w:num>
  <w:num w:numId="6">
    <w:abstractNumId w:val="19"/>
  </w:num>
  <w:num w:numId="7">
    <w:abstractNumId w:val="1"/>
  </w:num>
  <w:num w:numId="8">
    <w:abstractNumId w:val="15"/>
  </w:num>
  <w:num w:numId="9">
    <w:abstractNumId w:val="14"/>
  </w:num>
  <w:num w:numId="10">
    <w:abstractNumId w:val="22"/>
  </w:num>
  <w:num w:numId="11">
    <w:abstractNumId w:val="4"/>
  </w:num>
  <w:num w:numId="12">
    <w:abstractNumId w:val="20"/>
  </w:num>
  <w:num w:numId="13">
    <w:abstractNumId w:val="25"/>
  </w:num>
  <w:num w:numId="14">
    <w:abstractNumId w:val="16"/>
  </w:num>
  <w:num w:numId="15">
    <w:abstractNumId w:val="6"/>
  </w:num>
  <w:num w:numId="16">
    <w:abstractNumId w:val="21"/>
  </w:num>
  <w:num w:numId="17">
    <w:abstractNumId w:val="7"/>
  </w:num>
  <w:num w:numId="18">
    <w:abstractNumId w:val="2"/>
  </w:num>
  <w:num w:numId="19">
    <w:abstractNumId w:val="17"/>
  </w:num>
  <w:num w:numId="20">
    <w:abstractNumId w:val="26"/>
  </w:num>
  <w:num w:numId="21">
    <w:abstractNumId w:val="8"/>
  </w:num>
  <w:num w:numId="22">
    <w:abstractNumId w:val="24"/>
  </w:num>
  <w:num w:numId="23">
    <w:abstractNumId w:val="10"/>
  </w:num>
  <w:num w:numId="24">
    <w:abstractNumId w:val="11"/>
  </w:num>
  <w:num w:numId="25">
    <w:abstractNumId w:val="9"/>
  </w:num>
  <w:num w:numId="26">
    <w:abstractNumId w:val="23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E37"/>
    <w:rsid w:val="00024862"/>
    <w:rsid w:val="00033095"/>
    <w:rsid w:val="000610D2"/>
    <w:rsid w:val="000E4B87"/>
    <w:rsid w:val="00105B19"/>
    <w:rsid w:val="0013662A"/>
    <w:rsid w:val="001405A6"/>
    <w:rsid w:val="001437E0"/>
    <w:rsid w:val="00143D18"/>
    <w:rsid w:val="00144D87"/>
    <w:rsid w:val="00154857"/>
    <w:rsid w:val="00171B7B"/>
    <w:rsid w:val="00194BF5"/>
    <w:rsid w:val="0019702E"/>
    <w:rsid w:val="001C7D1F"/>
    <w:rsid w:val="001F3DED"/>
    <w:rsid w:val="001F6030"/>
    <w:rsid w:val="001F68E9"/>
    <w:rsid w:val="00212147"/>
    <w:rsid w:val="00220E8F"/>
    <w:rsid w:val="0023092A"/>
    <w:rsid w:val="00290871"/>
    <w:rsid w:val="002A54A2"/>
    <w:rsid w:val="002B1530"/>
    <w:rsid w:val="002C7D7D"/>
    <w:rsid w:val="002E3E37"/>
    <w:rsid w:val="002E5F5B"/>
    <w:rsid w:val="002E751D"/>
    <w:rsid w:val="00314C7C"/>
    <w:rsid w:val="00333649"/>
    <w:rsid w:val="00340CDB"/>
    <w:rsid w:val="00355004"/>
    <w:rsid w:val="003929E7"/>
    <w:rsid w:val="003A71C5"/>
    <w:rsid w:val="003D4F19"/>
    <w:rsid w:val="003E59F2"/>
    <w:rsid w:val="00426C7A"/>
    <w:rsid w:val="0044158F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512A98"/>
    <w:rsid w:val="00512C3F"/>
    <w:rsid w:val="00521D1A"/>
    <w:rsid w:val="00535497"/>
    <w:rsid w:val="00557818"/>
    <w:rsid w:val="005601E6"/>
    <w:rsid w:val="0056716B"/>
    <w:rsid w:val="00587BF5"/>
    <w:rsid w:val="00596E96"/>
    <w:rsid w:val="005A409E"/>
    <w:rsid w:val="005D455D"/>
    <w:rsid w:val="00613AB2"/>
    <w:rsid w:val="00635297"/>
    <w:rsid w:val="006B3B70"/>
    <w:rsid w:val="006C534A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46E7"/>
    <w:rsid w:val="007D3AE7"/>
    <w:rsid w:val="007D793C"/>
    <w:rsid w:val="007E51D8"/>
    <w:rsid w:val="00805888"/>
    <w:rsid w:val="008146FC"/>
    <w:rsid w:val="00821645"/>
    <w:rsid w:val="008634C9"/>
    <w:rsid w:val="00881846"/>
    <w:rsid w:val="00882643"/>
    <w:rsid w:val="00897837"/>
    <w:rsid w:val="008B13EA"/>
    <w:rsid w:val="008C14AA"/>
    <w:rsid w:val="008F7FE4"/>
    <w:rsid w:val="0090330B"/>
    <w:rsid w:val="00916CF6"/>
    <w:rsid w:val="009256D5"/>
    <w:rsid w:val="009268E4"/>
    <w:rsid w:val="00930DF8"/>
    <w:rsid w:val="0094549C"/>
    <w:rsid w:val="009668ED"/>
    <w:rsid w:val="00981DA1"/>
    <w:rsid w:val="00990D6C"/>
    <w:rsid w:val="009A634A"/>
    <w:rsid w:val="009B0844"/>
    <w:rsid w:val="009B7245"/>
    <w:rsid w:val="009C0CF5"/>
    <w:rsid w:val="009C6F55"/>
    <w:rsid w:val="00A4142A"/>
    <w:rsid w:val="00A45487"/>
    <w:rsid w:val="00A60A00"/>
    <w:rsid w:val="00A67549"/>
    <w:rsid w:val="00A734C7"/>
    <w:rsid w:val="00A91C4C"/>
    <w:rsid w:val="00AA1620"/>
    <w:rsid w:val="00AC7E60"/>
    <w:rsid w:val="00AF0C79"/>
    <w:rsid w:val="00B21721"/>
    <w:rsid w:val="00B21ED2"/>
    <w:rsid w:val="00B4214A"/>
    <w:rsid w:val="00B9364D"/>
    <w:rsid w:val="00BB5682"/>
    <w:rsid w:val="00BB59B3"/>
    <w:rsid w:val="00BD41EB"/>
    <w:rsid w:val="00BD7C33"/>
    <w:rsid w:val="00BE3C2D"/>
    <w:rsid w:val="00C05DD4"/>
    <w:rsid w:val="00C13151"/>
    <w:rsid w:val="00C1322A"/>
    <w:rsid w:val="00C232D0"/>
    <w:rsid w:val="00C7143D"/>
    <w:rsid w:val="00C729CE"/>
    <w:rsid w:val="00C76FAA"/>
    <w:rsid w:val="00CC23FF"/>
    <w:rsid w:val="00CC5EE7"/>
    <w:rsid w:val="00CF2778"/>
    <w:rsid w:val="00CF64E2"/>
    <w:rsid w:val="00D102A2"/>
    <w:rsid w:val="00D147D4"/>
    <w:rsid w:val="00D3569D"/>
    <w:rsid w:val="00D46FED"/>
    <w:rsid w:val="00D636EE"/>
    <w:rsid w:val="00D66DC6"/>
    <w:rsid w:val="00D9301F"/>
    <w:rsid w:val="00DB0B5A"/>
    <w:rsid w:val="00DC6C02"/>
    <w:rsid w:val="00DD22D0"/>
    <w:rsid w:val="00DE4BFE"/>
    <w:rsid w:val="00E04EFF"/>
    <w:rsid w:val="00E40563"/>
    <w:rsid w:val="00E47483"/>
    <w:rsid w:val="00E54383"/>
    <w:rsid w:val="00E846EA"/>
    <w:rsid w:val="00EB0A2C"/>
    <w:rsid w:val="00EC02E2"/>
    <w:rsid w:val="00ED062B"/>
    <w:rsid w:val="00F04945"/>
    <w:rsid w:val="00F201F2"/>
    <w:rsid w:val="00F442A0"/>
    <w:rsid w:val="00F47422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Ind w:w="0" w:type="dxa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Ind w:w="0" w:type="dxa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rsid w:val="00C1322A"/>
    <w:rPr>
      <w:color w:val="7256C4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322A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9C0CF5"/>
    <w:pPr>
      <w:numPr>
        <w:numId w:val="27"/>
      </w:numPr>
      <w:spacing w:after="200" w:line="276" w:lineRule="auto"/>
      <w:contextualSpacing/>
    </w:pPr>
    <w:rPr>
      <w:rFonts w:asciiTheme="minorHAnsi" w:eastAsiaTheme="minorHAnsi" w:hAnsiTheme="minorHAnsi" w:cstheme="minorBid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healthpoint.hdwa.health.wa.gov.au/policies/Policies/NMAHS/WNHS/WNHS.PMM.MedicationAdministration.pdf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3B046D-AA4A-A84E-9E90-D1FCB78C3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612</Words>
  <Characters>2512</Characters>
  <Application>Microsoft Macintosh Word</Application>
  <DocSecurity>0</DocSecurity>
  <Lines>40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Mhairi Ogg</cp:lastModifiedBy>
  <cp:revision>2</cp:revision>
  <dcterms:created xsi:type="dcterms:W3CDTF">2024-11-27T03:21:00Z</dcterms:created>
  <dcterms:modified xsi:type="dcterms:W3CDTF">2024-11-27T03:21:00Z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