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1391C3D7" w:rsidR="004C295A" w:rsidRPr="00A67549" w:rsidRDefault="00BF7632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>Adult peripheral intravenous cannula (PIVC) insertion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6370F4A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 w:rsidR="00B74403">
        <w:t>___________________________________</w:t>
      </w:r>
      <w:proofErr w:type="gramStart"/>
      <w:r>
        <w:tab/>
      </w:r>
      <w:r w:rsidR="008B57B1">
        <w:t xml:space="preserve">  </w:t>
      </w:r>
      <w:r>
        <w:t>HE</w:t>
      </w:r>
      <w:proofErr w:type="gramEnd"/>
      <w:r>
        <w:t>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2A060FF6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 for </w:t>
      </w:r>
      <w:r w:rsidR="00BF7632">
        <w:rPr>
          <w:sz w:val="22"/>
          <w:szCs w:val="20"/>
        </w:rPr>
        <w:t>insertion of peripheral intravenous cannula.</w:t>
      </w:r>
    </w:p>
    <w:p w14:paraId="539EEE5D" w14:textId="77777777" w:rsidR="006C1631" w:rsidRDefault="00A67549" w:rsidP="006C1631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53EC82AD" w14:textId="2767C936" w:rsidR="004C295A" w:rsidRPr="006C1631" w:rsidRDefault="00A67549" w:rsidP="006C1631">
      <w:pPr>
        <w:pStyle w:val="Heading2"/>
        <w:rPr>
          <w:sz w:val="28"/>
          <w:szCs w:val="24"/>
        </w:rPr>
      </w:pPr>
      <w:r>
        <w:rPr>
          <w:color w:val="495965" w:themeColor="text1"/>
          <w:lang w:val="en-AU"/>
        </w:rPr>
        <w:t>Theory</w:t>
      </w:r>
    </w:p>
    <w:p w14:paraId="19A63902" w14:textId="5547A44A" w:rsidR="00A67549" w:rsidRDefault="00A67549" w:rsidP="00A67549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Read </w:t>
      </w:r>
      <w:proofErr w:type="gramStart"/>
      <w:r w:rsidR="00BF7632">
        <w:rPr>
          <w:sz w:val="22"/>
          <w:szCs w:val="20"/>
          <w:lang w:eastAsia="x-none"/>
        </w:rPr>
        <w:t>State Wide</w:t>
      </w:r>
      <w:proofErr w:type="gramEnd"/>
      <w:r w:rsidR="00BF7632">
        <w:rPr>
          <w:sz w:val="22"/>
          <w:szCs w:val="20"/>
          <w:lang w:eastAsia="x-none"/>
        </w:rPr>
        <w:t xml:space="preserve"> Policy:</w:t>
      </w:r>
    </w:p>
    <w:p w14:paraId="36BFF404" w14:textId="60E3C3BA" w:rsidR="00BF7632" w:rsidRPr="00AD694F" w:rsidRDefault="00762BE5" w:rsidP="00AD694F">
      <w:pPr>
        <w:pStyle w:val="ListParagraph"/>
        <w:numPr>
          <w:ilvl w:val="0"/>
          <w:numId w:val="20"/>
        </w:numPr>
        <w:rPr>
          <w:rStyle w:val="Hyperlink"/>
          <w:rFonts w:cs="Arial"/>
          <w:sz w:val="22"/>
        </w:rPr>
      </w:pPr>
      <w:hyperlink r:id="rId11" w:history="1">
        <w:r w:rsidR="00BF7632" w:rsidRPr="00AD694F">
          <w:rPr>
            <w:rStyle w:val="Hyperlink"/>
            <w:rFonts w:cs="Arial"/>
            <w:sz w:val="22"/>
          </w:rPr>
          <w:t>https://ww2.health.wa.gov.au/~/media/Files/Corporate/Policy%20Frameworks/Public%20Health/Policy/Insertion%20and%20Management%20of%20Peripheral%20Intravenous%20Cannulae/MP38-Insertion-and-Management-of-Peripheral-Intravenous-Cannulae.pdf</w:t>
        </w:r>
      </w:hyperlink>
    </w:p>
    <w:p w14:paraId="750367DD" w14:textId="77777777" w:rsidR="009A1141" w:rsidRDefault="00BF7632" w:rsidP="009A1141">
      <w:r w:rsidRPr="00BF7632">
        <w:rPr>
          <w:rStyle w:val="Hyperlink"/>
          <w:rFonts w:cs="Arial"/>
          <w:color w:val="495965" w:themeColor="text1"/>
          <w:sz w:val="22"/>
          <w:szCs w:val="20"/>
          <w:u w:val="none"/>
        </w:rPr>
        <w:t>Complete WNHS eLearning package (my learning)</w:t>
      </w:r>
      <w:r>
        <w:rPr>
          <w:rStyle w:val="Hyperlink"/>
          <w:rFonts w:cs="Arial"/>
          <w:color w:val="495965" w:themeColor="text1"/>
          <w:sz w:val="22"/>
          <w:szCs w:val="20"/>
          <w:u w:val="none"/>
        </w:rPr>
        <w:t>:</w:t>
      </w:r>
    </w:p>
    <w:p w14:paraId="4AD7A57B" w14:textId="3D86BCBD" w:rsidR="00AD694F" w:rsidRPr="009A1141" w:rsidRDefault="00762BE5" w:rsidP="009A1141">
      <w:pPr>
        <w:pStyle w:val="ListParagraph"/>
        <w:numPr>
          <w:ilvl w:val="0"/>
          <w:numId w:val="20"/>
        </w:numPr>
        <w:rPr>
          <w:color w:val="495965" w:themeColor="text1"/>
          <w:sz w:val="20"/>
          <w:szCs w:val="18"/>
          <w:lang w:eastAsia="x-none"/>
        </w:rPr>
      </w:pPr>
      <w:hyperlink r:id="rId12" w:anchor="/users/@self/catalogues/48678501/courses/45485333/description" w:history="1">
        <w:r w:rsidR="00AD694F">
          <w:rPr>
            <w:rStyle w:val="Hyperlink"/>
          </w:rPr>
          <w:t>MyLearning - [NMHS] WNHS Adult peripheral intravenous cannulation (001) (health.wa.gov.au)</w:t>
        </w:r>
      </w:hyperlink>
    </w:p>
    <w:p w14:paraId="3BE9C879" w14:textId="32A08AAC" w:rsidR="00C1322A" w:rsidRPr="00F2514E" w:rsidRDefault="00C1322A" w:rsidP="00C1322A">
      <w:pPr>
        <w:pStyle w:val="Heading3"/>
        <w:rPr>
          <w:lang w:val="en-AU"/>
        </w:rPr>
      </w:pPr>
      <w:r w:rsidRPr="00F2514E">
        <w:rPr>
          <w:lang w:val="en-AU"/>
        </w:rPr>
        <w:t>Supervised practice</w:t>
      </w:r>
    </w:p>
    <w:p w14:paraId="5E89DD4D" w14:textId="3CAB7AA1" w:rsidR="00A734C7" w:rsidRPr="00A734C7" w:rsidRDefault="00A734C7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 w:rsidRPr="00A734C7">
        <w:rPr>
          <w:rFonts w:cs="Arial"/>
          <w:sz w:val="22"/>
        </w:rPr>
        <w:t xml:space="preserve">Supervisor – Health care professional deemed competent in </w:t>
      </w:r>
      <w:r w:rsidR="00BF7632">
        <w:rPr>
          <w:rFonts w:cs="Arial"/>
          <w:sz w:val="22"/>
        </w:rPr>
        <w:t>PIVC insertion</w:t>
      </w:r>
      <w:r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9702E" w14:paraId="18882E5A" w14:textId="77777777" w:rsidTr="008F7C0F">
        <w:tc>
          <w:tcPr>
            <w:tcW w:w="7366" w:type="dxa"/>
            <w:shd w:val="clear" w:color="auto" w:fill="495965" w:themeFill="text1"/>
          </w:tcPr>
          <w:p w14:paraId="12CD0914" w14:textId="11E918ED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bookmarkStart w:id="0" w:name="_Hlk181786290"/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358" w:type="dxa"/>
            <w:shd w:val="clear" w:color="auto" w:fill="495965" w:themeFill="text1"/>
          </w:tcPr>
          <w:p w14:paraId="5EE1F15F" w14:textId="1EE32324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1CF5B0B1" w14:textId="07CFA3BE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AD694F" w14:paraId="4900CCBF" w14:textId="77777777" w:rsidTr="00AD694F">
        <w:trPr>
          <w:trHeight w:val="338"/>
        </w:trPr>
        <w:tc>
          <w:tcPr>
            <w:tcW w:w="7366" w:type="dxa"/>
          </w:tcPr>
          <w:p w14:paraId="5C43656A" w14:textId="77777777" w:rsidR="00AD694F" w:rsidRDefault="00DF2A7C" w:rsidP="00DF2A7C">
            <w:pPr>
              <w:spacing w:after="0"/>
              <w:rPr>
                <w:sz w:val="22"/>
                <w:szCs w:val="20"/>
                <w:lang w:eastAsia="x-none"/>
              </w:rPr>
            </w:pPr>
            <w:r>
              <w:rPr>
                <w:sz w:val="22"/>
                <w:szCs w:val="20"/>
                <w:lang w:eastAsia="x-none"/>
              </w:rPr>
              <w:t>Attend education workshop and demonstrate successful supervised simulation attempt using aseptic technique.</w:t>
            </w:r>
          </w:p>
          <w:p w14:paraId="3B66E114" w14:textId="61EA3CDC" w:rsidR="00DF2A7C" w:rsidRPr="00DF2A7C" w:rsidRDefault="00DF2A7C" w:rsidP="00DF2A7C">
            <w:pPr>
              <w:spacing w:after="0"/>
              <w:rPr>
                <w:sz w:val="22"/>
                <w:szCs w:val="20"/>
                <w:lang w:eastAsia="x-none"/>
              </w:rPr>
            </w:pPr>
          </w:p>
        </w:tc>
        <w:tc>
          <w:tcPr>
            <w:tcW w:w="1358" w:type="dxa"/>
          </w:tcPr>
          <w:p w14:paraId="74D58073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DADA0DB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AD694F" w14:paraId="3473F25B" w14:textId="77777777" w:rsidTr="0019702E">
        <w:trPr>
          <w:trHeight w:val="337"/>
        </w:trPr>
        <w:tc>
          <w:tcPr>
            <w:tcW w:w="7366" w:type="dxa"/>
          </w:tcPr>
          <w:p w14:paraId="1CC79256" w14:textId="2A042E46" w:rsidR="00AD694F" w:rsidRDefault="00011C46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</w:t>
            </w:r>
            <w:r w:rsidR="00AD694F">
              <w:rPr>
                <w:rFonts w:cs="Arial"/>
                <w:sz w:val="22"/>
              </w:rPr>
              <w:t>uccessful insertion supervised by health professional deemed competent</w:t>
            </w:r>
          </w:p>
        </w:tc>
        <w:tc>
          <w:tcPr>
            <w:tcW w:w="1358" w:type="dxa"/>
          </w:tcPr>
          <w:p w14:paraId="2F45B8B2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20CB5B22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DF2A7C" w14:paraId="6B6B51D5" w14:textId="77777777" w:rsidTr="0019702E">
        <w:trPr>
          <w:trHeight w:val="337"/>
        </w:trPr>
        <w:tc>
          <w:tcPr>
            <w:tcW w:w="7366" w:type="dxa"/>
          </w:tcPr>
          <w:p w14:paraId="0EA4C0F0" w14:textId="54ADAD02" w:rsidR="00DF2A7C" w:rsidRDefault="00DF2A7C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Successful insertion supervised by health professional deemed competent</w:t>
            </w:r>
          </w:p>
        </w:tc>
        <w:tc>
          <w:tcPr>
            <w:tcW w:w="1358" w:type="dxa"/>
          </w:tcPr>
          <w:p w14:paraId="618A6C63" w14:textId="77777777" w:rsidR="00DF2A7C" w:rsidRDefault="00DF2A7C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166CEA75" w14:textId="77777777" w:rsidR="00DF2A7C" w:rsidRDefault="00DF2A7C" w:rsidP="00C1322A">
            <w:pPr>
              <w:rPr>
                <w:lang w:eastAsia="x-none"/>
              </w:rPr>
            </w:pPr>
          </w:p>
        </w:tc>
      </w:tr>
      <w:bookmarkEnd w:id="0"/>
    </w:tbl>
    <w:p w14:paraId="0833B2EF" w14:textId="77777777" w:rsidR="00011C46" w:rsidRDefault="00011C46" w:rsidP="00A67549">
      <w:pPr>
        <w:pStyle w:val="Heading2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03E66" w14:paraId="4ED3525C" w14:textId="77777777" w:rsidTr="008B57B1">
        <w:tc>
          <w:tcPr>
            <w:tcW w:w="7366" w:type="dxa"/>
            <w:shd w:val="clear" w:color="auto" w:fill="495965" w:themeFill="text1"/>
          </w:tcPr>
          <w:p w14:paraId="72AF63B1" w14:textId="158CF9E0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Previous competency (or compe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t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ency 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from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other health service)</w:t>
            </w:r>
          </w:p>
        </w:tc>
        <w:tc>
          <w:tcPr>
            <w:tcW w:w="1358" w:type="dxa"/>
            <w:shd w:val="clear" w:color="auto" w:fill="495965" w:themeFill="text1"/>
          </w:tcPr>
          <w:p w14:paraId="4D9065FA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37A4F838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103E66" w14:paraId="20DFF9CB" w14:textId="77777777" w:rsidTr="008E3399">
        <w:trPr>
          <w:trHeight w:val="338"/>
        </w:trPr>
        <w:tc>
          <w:tcPr>
            <w:tcW w:w="7366" w:type="dxa"/>
          </w:tcPr>
          <w:p w14:paraId="1C0B8158" w14:textId="55548A4E" w:rsidR="00103E66" w:rsidRDefault="00C2697E" w:rsidP="008E3399">
            <w:pPr>
              <w:spacing w:after="0"/>
              <w:rPr>
                <w:sz w:val="22"/>
                <w:szCs w:val="20"/>
                <w:lang w:eastAsia="x-none"/>
              </w:rPr>
            </w:pPr>
            <w:r>
              <w:rPr>
                <w:sz w:val="22"/>
                <w:szCs w:val="20"/>
                <w:lang w:eastAsia="x-none"/>
              </w:rPr>
              <w:t xml:space="preserve">Read </w:t>
            </w:r>
            <w:proofErr w:type="gramStart"/>
            <w:r w:rsidR="003F66B3">
              <w:rPr>
                <w:sz w:val="22"/>
                <w:szCs w:val="20"/>
                <w:lang w:eastAsia="x-none"/>
              </w:rPr>
              <w:t>state wide</w:t>
            </w:r>
            <w:proofErr w:type="gramEnd"/>
            <w:r w:rsidR="003F66B3">
              <w:rPr>
                <w:sz w:val="22"/>
                <w:szCs w:val="20"/>
                <w:lang w:eastAsia="x-none"/>
              </w:rPr>
              <w:t xml:space="preserve"> policy</w:t>
            </w:r>
          </w:p>
          <w:p w14:paraId="006DD25B" w14:textId="77777777" w:rsidR="00103E66" w:rsidRPr="00DF2A7C" w:rsidRDefault="00103E66" w:rsidP="008E3399">
            <w:pPr>
              <w:spacing w:after="0"/>
              <w:rPr>
                <w:sz w:val="22"/>
                <w:szCs w:val="20"/>
                <w:lang w:eastAsia="x-none"/>
              </w:rPr>
            </w:pPr>
          </w:p>
        </w:tc>
        <w:tc>
          <w:tcPr>
            <w:tcW w:w="1358" w:type="dxa"/>
          </w:tcPr>
          <w:p w14:paraId="102BA82E" w14:textId="77777777" w:rsidR="00103E66" w:rsidRDefault="00103E66" w:rsidP="008E3399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75DFAC40" w14:textId="77777777" w:rsidR="00103E66" w:rsidRDefault="00103E66" w:rsidP="008E3399">
            <w:pPr>
              <w:rPr>
                <w:lang w:eastAsia="x-none"/>
              </w:rPr>
            </w:pPr>
          </w:p>
        </w:tc>
      </w:tr>
      <w:tr w:rsidR="00103E66" w14:paraId="0E5A30D4" w14:textId="77777777" w:rsidTr="008E3399">
        <w:trPr>
          <w:trHeight w:val="337"/>
        </w:trPr>
        <w:tc>
          <w:tcPr>
            <w:tcW w:w="7366" w:type="dxa"/>
          </w:tcPr>
          <w:p w14:paraId="4B7E9738" w14:textId="000F95E2" w:rsidR="00103E66" w:rsidRDefault="003F66B3" w:rsidP="008E3399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Assessed on individual basis; this may or may not include a supervised </w:t>
            </w:r>
            <w:r w:rsidR="00F053DB">
              <w:rPr>
                <w:rFonts w:cs="Arial"/>
                <w:sz w:val="22"/>
              </w:rPr>
              <w:t>successful insertion using aseptic technique</w:t>
            </w:r>
          </w:p>
        </w:tc>
        <w:tc>
          <w:tcPr>
            <w:tcW w:w="1358" w:type="dxa"/>
          </w:tcPr>
          <w:p w14:paraId="527C1B34" w14:textId="77777777" w:rsidR="00103E66" w:rsidRDefault="00103E66" w:rsidP="008E3399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7E2C8E40" w14:textId="77777777" w:rsidR="00103E66" w:rsidRDefault="00103E66" w:rsidP="008E3399">
            <w:pPr>
              <w:rPr>
                <w:lang w:eastAsia="x-none"/>
              </w:rPr>
            </w:pPr>
          </w:p>
        </w:tc>
      </w:tr>
    </w:tbl>
    <w:p w14:paraId="19CFBE22" w14:textId="7F8ABAF8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lastRenderedPageBreak/>
        <w:t>Performance criteria</w:t>
      </w:r>
    </w:p>
    <w:p w14:paraId="1FDD12C6" w14:textId="65267469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4656" w:type="pct"/>
        <w:tblLayout w:type="fixed"/>
        <w:tblLook w:val="04A0" w:firstRow="1" w:lastRow="0" w:firstColumn="1" w:lastColumn="0" w:noHBand="0" w:noVBand="1"/>
      </w:tblPr>
      <w:tblGrid>
        <w:gridCol w:w="8642"/>
        <w:gridCol w:w="851"/>
      </w:tblGrid>
      <w:tr w:rsidR="00A734C7" w14:paraId="3A0CB2CB" w14:textId="77777777" w:rsidTr="009A7F7B">
        <w:tc>
          <w:tcPr>
            <w:tcW w:w="4552" w:type="pct"/>
            <w:shd w:val="clear" w:color="auto" w:fill="FFFFFF" w:themeFill="background1"/>
          </w:tcPr>
          <w:p w14:paraId="3423D40F" w14:textId="4F994952" w:rsidR="00A734C7" w:rsidRPr="009A7F7B" w:rsidRDefault="0019702E" w:rsidP="008634C9">
            <w:pPr>
              <w:spacing w:after="0"/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 xml:space="preserve">Date: </w:t>
            </w:r>
          </w:p>
        </w:tc>
        <w:tc>
          <w:tcPr>
            <w:tcW w:w="448" w:type="pct"/>
            <w:shd w:val="clear" w:color="auto" w:fill="FFFFFF" w:themeFill="background1"/>
          </w:tcPr>
          <w:p w14:paraId="5D8B0A08" w14:textId="67B0E16A" w:rsidR="00A734C7" w:rsidRPr="009A7F7B" w:rsidRDefault="0019702E" w:rsidP="00977A7A">
            <w:pPr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>A/NA</w:t>
            </w:r>
          </w:p>
        </w:tc>
      </w:tr>
      <w:tr w:rsidR="0019702E" w14:paraId="53B21F02" w14:textId="77777777" w:rsidTr="009A7F7B">
        <w:trPr>
          <w:trHeight w:val="258"/>
        </w:trPr>
        <w:tc>
          <w:tcPr>
            <w:tcW w:w="5000" w:type="pct"/>
            <w:gridSpan w:val="2"/>
            <w:shd w:val="clear" w:color="auto" w:fill="495965" w:themeFill="text1"/>
          </w:tcPr>
          <w:p w14:paraId="0CC8AC42" w14:textId="17946909" w:rsidR="0019702E" w:rsidRPr="00A67549" w:rsidRDefault="0019702E" w:rsidP="00977A7A">
            <w:pPr>
              <w:rPr>
                <w:sz w:val="22"/>
              </w:rPr>
            </w:pPr>
            <w:r w:rsidRPr="009A7F7B">
              <w:rPr>
                <w:b/>
                <w:bCs/>
                <w:color w:val="FFFFFF" w:themeColor="background1"/>
                <w:sz w:val="22"/>
              </w:rPr>
              <w:t>Pr</w:t>
            </w:r>
            <w:r w:rsidR="00AD694F" w:rsidRPr="009A7F7B">
              <w:rPr>
                <w:b/>
                <w:bCs/>
                <w:color w:val="FFFFFF" w:themeColor="background1"/>
                <w:sz w:val="22"/>
              </w:rPr>
              <w:t>ofessional responsibilities</w:t>
            </w:r>
            <w:r w:rsidRPr="009A7F7B">
              <w:rPr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A734C7" w:rsidRPr="00EF517D" w14:paraId="7EA0B16F" w14:textId="77777777" w:rsidTr="00DF2A7C">
        <w:tc>
          <w:tcPr>
            <w:tcW w:w="4552" w:type="pct"/>
            <w:shd w:val="clear" w:color="auto" w:fill="auto"/>
          </w:tcPr>
          <w:p w14:paraId="62953826" w14:textId="295D342E" w:rsidR="00A734C7" w:rsidRPr="0044158F" w:rsidRDefault="00AD694F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Obtains</w:t>
            </w:r>
            <w:r w:rsidR="0019702E" w:rsidRPr="0044158F">
              <w:rPr>
                <w:rFonts w:cs="Arial"/>
                <w:sz w:val="22"/>
                <w:szCs w:val="24"/>
              </w:rPr>
              <w:t xml:space="preserve"> consent</w:t>
            </w:r>
          </w:p>
        </w:tc>
        <w:tc>
          <w:tcPr>
            <w:tcW w:w="448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19702E" w:rsidRPr="00EF517D" w14:paraId="2F19F895" w14:textId="77777777" w:rsidTr="00DF2A7C">
        <w:tc>
          <w:tcPr>
            <w:tcW w:w="4552" w:type="pct"/>
            <w:shd w:val="clear" w:color="auto" w:fill="auto"/>
          </w:tcPr>
          <w:p w14:paraId="4CC47CDE" w14:textId="67DC3542" w:rsidR="0019702E" w:rsidRPr="0044158F" w:rsidRDefault="00AD694F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Obtains medical order for PIVC</w:t>
            </w:r>
          </w:p>
        </w:tc>
        <w:tc>
          <w:tcPr>
            <w:tcW w:w="448" w:type="pct"/>
          </w:tcPr>
          <w:p w14:paraId="28F73787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2E8E1EA" w14:textId="77777777" w:rsidTr="00DF2A7C">
        <w:tc>
          <w:tcPr>
            <w:tcW w:w="4552" w:type="pct"/>
            <w:shd w:val="clear" w:color="auto" w:fill="auto"/>
          </w:tcPr>
          <w:p w14:paraId="554B5E63" w14:textId="480CD9D4" w:rsidR="0019702E" w:rsidRPr="0044158F" w:rsidRDefault="00AD694F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Maintains confidentiality</w:t>
            </w:r>
          </w:p>
        </w:tc>
        <w:tc>
          <w:tcPr>
            <w:tcW w:w="448" w:type="pct"/>
          </w:tcPr>
          <w:p w14:paraId="4770F161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7D698DAA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10D95A4A" w14:textId="0B4F9200" w:rsidR="0019702E" w:rsidRPr="009A7F7B" w:rsidRDefault="00011C46" w:rsidP="00977A7A">
            <w:pPr>
              <w:rPr>
                <w:color w:val="FFFFFF" w:themeColor="background1"/>
                <w:sz w:val="22"/>
              </w:rPr>
            </w:pPr>
            <w:r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Knowledge</w:t>
            </w:r>
            <w:r w:rsidR="0019702E"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:</w:t>
            </w:r>
          </w:p>
        </w:tc>
      </w:tr>
      <w:tr w:rsidR="0019702E" w:rsidRPr="00EF517D" w14:paraId="297255D8" w14:textId="77777777" w:rsidTr="00DF2A7C">
        <w:tc>
          <w:tcPr>
            <w:tcW w:w="4552" w:type="pct"/>
            <w:shd w:val="clear" w:color="auto" w:fill="auto"/>
          </w:tcPr>
          <w:p w14:paraId="7C17C81A" w14:textId="75FE2253" w:rsidR="0019702E" w:rsidRPr="00DF2A7C" w:rsidRDefault="00DF2A7C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Identifies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and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manages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risk</w:t>
            </w:r>
            <w:r w:rsidRPr="00DF2A7C">
              <w:rPr>
                <w:rFonts w:cs="Arial"/>
                <w:spacing w:val="-3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to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self,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patient</w:t>
            </w:r>
            <w:r w:rsidRPr="00DF2A7C">
              <w:rPr>
                <w:rFonts w:cs="Arial"/>
                <w:spacing w:val="-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and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the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environment</w:t>
            </w:r>
          </w:p>
        </w:tc>
        <w:tc>
          <w:tcPr>
            <w:tcW w:w="448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DF2A7C">
        <w:tc>
          <w:tcPr>
            <w:tcW w:w="4552" w:type="pct"/>
            <w:shd w:val="clear" w:color="auto" w:fill="auto"/>
          </w:tcPr>
          <w:p w14:paraId="25BB84C6" w14:textId="34EAF244" w:rsidR="0019702E" w:rsidRPr="00DF2A7C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Verbalises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pacing w:val="1"/>
                <w:sz w:val="22"/>
              </w:rPr>
              <w:t>an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understanding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of</w:t>
            </w:r>
            <w:r w:rsidRPr="00DF2A7C">
              <w:rPr>
                <w:rFonts w:cs="Arial"/>
                <w:spacing w:val="12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the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anatomy</w:t>
            </w:r>
            <w:r w:rsidRPr="00DF2A7C">
              <w:rPr>
                <w:rFonts w:cs="Arial"/>
                <w:spacing w:val="6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&amp;</w:t>
            </w:r>
            <w:r w:rsidRPr="00DF2A7C">
              <w:rPr>
                <w:rFonts w:cs="Arial"/>
                <w:spacing w:val="9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physiology</w:t>
            </w:r>
            <w:r w:rsidRPr="00DF2A7C">
              <w:rPr>
                <w:rFonts w:cs="Arial"/>
                <w:spacing w:val="6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of</w:t>
            </w:r>
            <w:r w:rsidRPr="00DF2A7C">
              <w:rPr>
                <w:rFonts w:cs="Arial"/>
                <w:spacing w:val="12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the</w:t>
            </w:r>
            <w:r w:rsidRPr="00DF2A7C">
              <w:rPr>
                <w:rFonts w:cs="Arial"/>
                <w:spacing w:val="10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circulation</w:t>
            </w:r>
            <w:r w:rsidRPr="00DF2A7C">
              <w:rPr>
                <w:rFonts w:cs="Arial"/>
                <w:spacing w:val="49"/>
                <w:w w:val="99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and</w:t>
            </w:r>
            <w:r w:rsidRPr="00DF2A7C">
              <w:rPr>
                <w:rFonts w:cs="Arial"/>
                <w:spacing w:val="-7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>veins</w:t>
            </w:r>
          </w:p>
        </w:tc>
        <w:tc>
          <w:tcPr>
            <w:tcW w:w="448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DF2A7C">
        <w:tc>
          <w:tcPr>
            <w:tcW w:w="4552" w:type="pct"/>
            <w:shd w:val="clear" w:color="auto" w:fill="auto"/>
          </w:tcPr>
          <w:p w14:paraId="08FCE31B" w14:textId="1A676BBC" w:rsidR="0019702E" w:rsidRPr="00DF2A7C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Verbalises</w:t>
            </w:r>
            <w:r w:rsidRPr="00DF2A7C">
              <w:rPr>
                <w:rFonts w:cs="Arial"/>
                <w:spacing w:val="-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the indications</w:t>
            </w:r>
            <w:r w:rsidRPr="00DF2A7C">
              <w:rPr>
                <w:rFonts w:cs="Arial"/>
                <w:spacing w:val="-9"/>
                <w:sz w:val="22"/>
              </w:rPr>
              <w:t xml:space="preserve"> and contraindications </w:t>
            </w:r>
            <w:proofErr w:type="gramStart"/>
            <w:r w:rsidRPr="00DF2A7C">
              <w:rPr>
                <w:rFonts w:cs="Arial"/>
                <w:sz w:val="22"/>
              </w:rPr>
              <w:t>for</w:t>
            </w:r>
            <w:r w:rsidRPr="00DF2A7C">
              <w:rPr>
                <w:rFonts w:cs="Arial"/>
                <w:spacing w:val="-9"/>
                <w:sz w:val="22"/>
              </w:rPr>
              <w:t xml:space="preserve">  </w:t>
            </w:r>
            <w:r w:rsidRPr="00DF2A7C">
              <w:rPr>
                <w:rFonts w:cs="Arial"/>
                <w:spacing w:val="-1"/>
                <w:sz w:val="22"/>
              </w:rPr>
              <w:t>PIVC</w:t>
            </w:r>
            <w:proofErr w:type="gramEnd"/>
          </w:p>
        </w:tc>
        <w:tc>
          <w:tcPr>
            <w:tcW w:w="448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DF2A7C">
        <w:tc>
          <w:tcPr>
            <w:tcW w:w="4552" w:type="pct"/>
            <w:shd w:val="clear" w:color="auto" w:fill="auto"/>
          </w:tcPr>
          <w:p w14:paraId="4B6D2C3D" w14:textId="470B3D41" w:rsidR="0019702E" w:rsidRPr="00DF2A7C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>Verbalises</w:t>
            </w:r>
            <w:r w:rsidRPr="00DF2A7C">
              <w:rPr>
                <w:rFonts w:cs="Arial"/>
                <w:spacing w:val="-10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the</w:t>
            </w:r>
            <w:r w:rsidRPr="00DF2A7C">
              <w:rPr>
                <w:rFonts w:cs="Arial"/>
                <w:spacing w:val="-11"/>
                <w:sz w:val="22"/>
              </w:rPr>
              <w:t xml:space="preserve"> </w:t>
            </w:r>
            <w:r w:rsidRPr="00DF2A7C">
              <w:rPr>
                <w:rFonts w:cs="Arial"/>
                <w:sz w:val="22"/>
              </w:rPr>
              <w:t>complications</w:t>
            </w:r>
            <w:r w:rsidRPr="00DF2A7C">
              <w:rPr>
                <w:rFonts w:cs="Arial"/>
                <w:spacing w:val="-9"/>
                <w:sz w:val="22"/>
              </w:rPr>
              <w:t xml:space="preserve"> </w:t>
            </w:r>
            <w:proofErr w:type="gramStart"/>
            <w:r w:rsidRPr="00DF2A7C">
              <w:rPr>
                <w:rFonts w:cs="Arial"/>
                <w:spacing w:val="-1"/>
                <w:sz w:val="22"/>
              </w:rPr>
              <w:t>of</w:t>
            </w:r>
            <w:r w:rsidRPr="00DF2A7C">
              <w:rPr>
                <w:rFonts w:cs="Arial"/>
                <w:spacing w:val="-9"/>
                <w:sz w:val="22"/>
              </w:rPr>
              <w:t xml:space="preserve"> </w:t>
            </w:r>
            <w:r w:rsidRPr="00DF2A7C">
              <w:rPr>
                <w:rFonts w:cs="Arial"/>
                <w:spacing w:val="-1"/>
                <w:sz w:val="22"/>
              </w:rPr>
              <w:t xml:space="preserve"> PIVC</w:t>
            </w:r>
            <w:proofErr w:type="gramEnd"/>
          </w:p>
        </w:tc>
        <w:tc>
          <w:tcPr>
            <w:tcW w:w="448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DF2A7C">
        <w:tc>
          <w:tcPr>
            <w:tcW w:w="4552" w:type="pct"/>
            <w:shd w:val="clear" w:color="auto" w:fill="auto"/>
          </w:tcPr>
          <w:p w14:paraId="1845C9AC" w14:textId="008DE216" w:rsidR="0019702E" w:rsidRPr="00DF2A7C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F2A7C">
              <w:rPr>
                <w:rFonts w:cs="Arial"/>
                <w:spacing w:val="-1"/>
                <w:sz w:val="22"/>
              </w:rPr>
              <w:t xml:space="preserve">Demonstration of ANTT principles </w:t>
            </w:r>
            <w:proofErr w:type="gramStart"/>
            <w:r w:rsidRPr="00DF2A7C">
              <w:rPr>
                <w:rFonts w:cs="Arial"/>
                <w:spacing w:val="-1"/>
                <w:sz w:val="22"/>
              </w:rPr>
              <w:t>for  PIVC</w:t>
            </w:r>
            <w:proofErr w:type="gramEnd"/>
          </w:p>
        </w:tc>
        <w:tc>
          <w:tcPr>
            <w:tcW w:w="448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DF2A7C" w:rsidRPr="00EF517D" w14:paraId="5AA4CB7C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57C5CF0B" w14:textId="42F35E2C" w:rsidR="00DF2A7C" w:rsidRPr="00A67549" w:rsidRDefault="00DF2A7C" w:rsidP="00DF2A7C">
            <w:pPr>
              <w:rPr>
                <w:sz w:val="22"/>
              </w:rPr>
            </w:pPr>
            <w:r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Preparation:</w:t>
            </w:r>
          </w:p>
        </w:tc>
      </w:tr>
      <w:tr w:rsidR="0019702E" w:rsidRPr="00EF517D" w14:paraId="069A5D12" w14:textId="77777777" w:rsidTr="00DF2A7C">
        <w:tc>
          <w:tcPr>
            <w:tcW w:w="4552" w:type="pct"/>
            <w:shd w:val="clear" w:color="auto" w:fill="auto"/>
          </w:tcPr>
          <w:p w14:paraId="7290FCA3" w14:textId="12D00ED3" w:rsidR="0019702E" w:rsidRPr="00D948A8" w:rsidRDefault="00F568AF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948A8">
              <w:rPr>
                <w:rFonts w:cs="Arial"/>
                <w:spacing w:val="-1"/>
                <w:sz w:val="22"/>
              </w:rPr>
              <w:t>Patient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reassurance,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education</w:t>
            </w:r>
            <w:r w:rsidRPr="00D948A8">
              <w:rPr>
                <w:rFonts w:cs="Arial"/>
                <w:spacing w:val="-8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and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information</w:t>
            </w:r>
            <w:r w:rsidRPr="00D948A8">
              <w:rPr>
                <w:rFonts w:cs="Arial"/>
                <w:spacing w:val="-10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given</w:t>
            </w:r>
          </w:p>
        </w:tc>
        <w:tc>
          <w:tcPr>
            <w:tcW w:w="448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DF2A7C" w:rsidRPr="00EF517D" w14:paraId="31DFF06E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6706CDF4" w14:textId="66A113AE" w:rsidR="00DF2A7C" w:rsidRPr="00D948A8" w:rsidRDefault="00BA3DD7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948A8">
              <w:rPr>
                <w:rFonts w:eastAsia="Arial" w:cs="Arial"/>
                <w:spacing w:val="-1"/>
                <w:sz w:val="22"/>
              </w:rPr>
              <w:t>Check</w:t>
            </w:r>
            <w:r w:rsidRPr="00D948A8">
              <w:rPr>
                <w:rFonts w:eastAsia="Arial" w:cs="Arial"/>
                <w:spacing w:val="-4"/>
                <w:sz w:val="22"/>
              </w:rPr>
              <w:t xml:space="preserve"> </w:t>
            </w:r>
            <w:r w:rsidRPr="00D948A8">
              <w:rPr>
                <w:rFonts w:eastAsia="Arial" w:cs="Arial"/>
                <w:spacing w:val="-1"/>
                <w:sz w:val="22"/>
              </w:rPr>
              <w:t>the</w:t>
            </w:r>
            <w:r w:rsidRPr="00D948A8">
              <w:rPr>
                <w:rFonts w:eastAsia="Arial" w:cs="Arial"/>
                <w:spacing w:val="-6"/>
                <w:sz w:val="22"/>
              </w:rPr>
              <w:t xml:space="preserve"> </w:t>
            </w:r>
            <w:r w:rsidRPr="00D948A8">
              <w:rPr>
                <w:rFonts w:eastAsia="Arial" w:cs="Arial"/>
                <w:spacing w:val="-1"/>
                <w:sz w:val="22"/>
              </w:rPr>
              <w:t>patient’s</w:t>
            </w:r>
            <w:r w:rsidRPr="00D948A8">
              <w:rPr>
                <w:rFonts w:eastAsia="Arial" w:cs="Arial"/>
                <w:spacing w:val="-6"/>
                <w:sz w:val="22"/>
              </w:rPr>
              <w:t xml:space="preserve"> </w:t>
            </w:r>
            <w:r w:rsidRPr="00D948A8">
              <w:rPr>
                <w:rFonts w:eastAsia="Arial" w:cs="Arial"/>
                <w:spacing w:val="-1"/>
                <w:sz w:val="22"/>
              </w:rPr>
              <w:t>ID</w:t>
            </w:r>
          </w:p>
        </w:tc>
        <w:tc>
          <w:tcPr>
            <w:tcW w:w="448" w:type="pct"/>
          </w:tcPr>
          <w:p w14:paraId="0B17FA09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6D62B589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1BC72C98" w14:textId="4B744713" w:rsidR="00DF2A7C" w:rsidRPr="00D948A8" w:rsidRDefault="00B20476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D948A8">
              <w:rPr>
                <w:rFonts w:cs="Arial"/>
                <w:spacing w:val="-1"/>
                <w:sz w:val="22"/>
              </w:rPr>
              <w:t>Chooses</w:t>
            </w:r>
            <w:r w:rsidRPr="00D948A8">
              <w:rPr>
                <w:rFonts w:cs="Arial"/>
                <w:spacing w:val="-6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a</w:t>
            </w:r>
            <w:r w:rsidRPr="00D948A8">
              <w:rPr>
                <w:rFonts w:cs="Arial"/>
                <w:spacing w:val="-8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suitable</w:t>
            </w:r>
            <w:r w:rsidRPr="00D948A8">
              <w:rPr>
                <w:rFonts w:cs="Arial"/>
                <w:spacing w:val="-5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vein</w:t>
            </w:r>
          </w:p>
        </w:tc>
        <w:tc>
          <w:tcPr>
            <w:tcW w:w="448" w:type="pct"/>
          </w:tcPr>
          <w:p w14:paraId="43068D2C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44158F" w:rsidRPr="00EF517D" w14:paraId="028F87A5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26616C96" w14:textId="53697F22" w:rsidR="0044158F" w:rsidRPr="009A7F7B" w:rsidRDefault="00DF2A7C" w:rsidP="0019702E">
            <w:pPr>
              <w:rPr>
                <w:b/>
                <w:bCs/>
                <w:color w:val="FFFFFF" w:themeColor="background1"/>
                <w:sz w:val="22"/>
              </w:rPr>
            </w:pPr>
            <w:r w:rsidRPr="009A7F7B">
              <w:rPr>
                <w:rFonts w:cs="Arial"/>
                <w:b/>
                <w:bCs/>
                <w:color w:val="FFFFFF" w:themeColor="background1"/>
                <w:sz w:val="22"/>
              </w:rPr>
              <w:t>Technique</w:t>
            </w:r>
            <w:r w:rsidR="0044158F" w:rsidRPr="009A7F7B">
              <w:rPr>
                <w:rFonts w:cs="Arial"/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44158F" w:rsidRPr="00EF517D" w14:paraId="73C79C41" w14:textId="77777777" w:rsidTr="00DF2A7C">
        <w:tc>
          <w:tcPr>
            <w:tcW w:w="4552" w:type="pct"/>
            <w:shd w:val="clear" w:color="auto" w:fill="auto"/>
          </w:tcPr>
          <w:p w14:paraId="67D927A2" w14:textId="51C0A25C" w:rsidR="0044158F" w:rsidRPr="00D948A8" w:rsidRDefault="006A28A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pacing w:val="-1"/>
                <w:sz w:val="22"/>
              </w:rPr>
              <w:t>Prepares</w:t>
            </w:r>
            <w:r w:rsidRPr="00D948A8">
              <w:rPr>
                <w:rFonts w:cs="Arial"/>
                <w:spacing w:val="-8"/>
                <w:sz w:val="22"/>
              </w:rPr>
              <w:t xml:space="preserve"> </w:t>
            </w:r>
            <w:r w:rsidRPr="00D948A8">
              <w:rPr>
                <w:rFonts w:cs="Arial"/>
                <w:sz w:val="22"/>
              </w:rPr>
              <w:t>self (PPE) and patient</w:t>
            </w:r>
          </w:p>
        </w:tc>
        <w:tc>
          <w:tcPr>
            <w:tcW w:w="448" w:type="pct"/>
          </w:tcPr>
          <w:p w14:paraId="10D26DB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56F01299" w14:textId="77777777" w:rsidTr="00DF2A7C">
        <w:tc>
          <w:tcPr>
            <w:tcW w:w="4552" w:type="pct"/>
            <w:shd w:val="clear" w:color="auto" w:fill="auto"/>
          </w:tcPr>
          <w:p w14:paraId="20592299" w14:textId="313BA921" w:rsidR="0044158F" w:rsidRPr="00D948A8" w:rsidRDefault="00873B7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Complies with aseptic technique</w:t>
            </w:r>
          </w:p>
        </w:tc>
        <w:tc>
          <w:tcPr>
            <w:tcW w:w="448" w:type="pct"/>
          </w:tcPr>
          <w:p w14:paraId="1691156F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DF2A7C" w:rsidRPr="00EF517D" w14:paraId="4B4AF314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503C70D4" w14:textId="1931CF59" w:rsidR="00DF2A7C" w:rsidRPr="00D948A8" w:rsidRDefault="00E17204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Applies tourniquet correctly</w:t>
            </w:r>
          </w:p>
        </w:tc>
        <w:tc>
          <w:tcPr>
            <w:tcW w:w="448" w:type="pct"/>
          </w:tcPr>
          <w:p w14:paraId="39C164F6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1DA34EAD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70DF29BF" w14:textId="7D9958DB" w:rsidR="00DF2A7C" w:rsidRPr="00D948A8" w:rsidRDefault="003B76E3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Immobilizes limb effectively</w:t>
            </w:r>
          </w:p>
        </w:tc>
        <w:tc>
          <w:tcPr>
            <w:tcW w:w="448" w:type="pct"/>
          </w:tcPr>
          <w:p w14:paraId="3C517FDE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10054EBB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1D0E1353" w14:textId="41B05542" w:rsidR="00DF2A7C" w:rsidRPr="00D948A8" w:rsidRDefault="007A72D9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Correct administration of local anaesthetic (if necessary)</w:t>
            </w:r>
          </w:p>
        </w:tc>
        <w:tc>
          <w:tcPr>
            <w:tcW w:w="448" w:type="pct"/>
          </w:tcPr>
          <w:p w14:paraId="40080DC7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762F18A2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36AA21B1" w14:textId="292E8C6A" w:rsidR="00DF2A7C" w:rsidRPr="00D948A8" w:rsidRDefault="00981715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Correct angle of insertion, evidence of flashback</w:t>
            </w:r>
          </w:p>
        </w:tc>
        <w:tc>
          <w:tcPr>
            <w:tcW w:w="448" w:type="pct"/>
          </w:tcPr>
          <w:p w14:paraId="37DB6143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7FF31A61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07D10221" w14:textId="1C41BA2E" w:rsidR="00DF2A7C" w:rsidRPr="00D948A8" w:rsidRDefault="007F2AD9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Lowered angle of cannula for advancement into the vein</w:t>
            </w:r>
          </w:p>
        </w:tc>
        <w:tc>
          <w:tcPr>
            <w:tcW w:w="448" w:type="pct"/>
          </w:tcPr>
          <w:p w14:paraId="784B6874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739AC7C7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2C47FF57" w14:textId="1EC07E60" w:rsidR="00DF2A7C" w:rsidRPr="00D948A8" w:rsidRDefault="00996273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Stylet withdrawn (second flashback)</w:t>
            </w:r>
          </w:p>
        </w:tc>
        <w:tc>
          <w:tcPr>
            <w:tcW w:w="448" w:type="pct"/>
          </w:tcPr>
          <w:p w14:paraId="611B6912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0BDE06FF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13EF213F" w14:textId="41E895D7" w:rsidR="00DF2A7C" w:rsidRPr="00D948A8" w:rsidRDefault="006422C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Cannula advanced easily to the hub</w:t>
            </w:r>
          </w:p>
        </w:tc>
        <w:tc>
          <w:tcPr>
            <w:tcW w:w="448" w:type="pct"/>
          </w:tcPr>
          <w:p w14:paraId="57DB1C6B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614F7045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5FBF1B1C" w14:textId="5D52137C" w:rsidR="00DF2A7C" w:rsidRPr="00D948A8" w:rsidRDefault="0020268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Tourniquet released</w:t>
            </w:r>
          </w:p>
        </w:tc>
        <w:tc>
          <w:tcPr>
            <w:tcW w:w="448" w:type="pct"/>
          </w:tcPr>
          <w:p w14:paraId="417FDD09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67AB081C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3F92E447" w14:textId="61B81AE4" w:rsidR="00DF2A7C" w:rsidRPr="00D948A8" w:rsidRDefault="00025386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Blood collected correctly (if required)</w:t>
            </w:r>
          </w:p>
        </w:tc>
        <w:tc>
          <w:tcPr>
            <w:tcW w:w="448" w:type="pct"/>
          </w:tcPr>
          <w:p w14:paraId="014C5023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16E21ACB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2762F942" w14:textId="244CDA1B" w:rsidR="00DF2A7C" w:rsidRPr="00D948A8" w:rsidRDefault="00D948A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D948A8">
              <w:rPr>
                <w:rFonts w:cs="Arial"/>
                <w:sz w:val="22"/>
              </w:rPr>
              <w:t>PIVC flushed</w:t>
            </w:r>
          </w:p>
        </w:tc>
        <w:tc>
          <w:tcPr>
            <w:tcW w:w="448" w:type="pct"/>
          </w:tcPr>
          <w:p w14:paraId="1B012B2D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5E4B12D6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7B2A8F1F" w14:textId="07AEC6D7" w:rsidR="00DF2A7C" w:rsidRPr="0044158F" w:rsidRDefault="00D948A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lastRenderedPageBreak/>
              <w:t xml:space="preserve">J loop </w:t>
            </w:r>
            <w:r w:rsidR="00DD02DD">
              <w:rPr>
                <w:rFonts w:cs="Arial"/>
                <w:sz w:val="22"/>
                <w:szCs w:val="24"/>
              </w:rPr>
              <w:t xml:space="preserve">or </w:t>
            </w:r>
            <w:proofErr w:type="gramStart"/>
            <w:r w:rsidR="00DD02DD">
              <w:rPr>
                <w:rFonts w:cs="Arial"/>
                <w:sz w:val="22"/>
                <w:szCs w:val="24"/>
              </w:rPr>
              <w:t>3 way</w:t>
            </w:r>
            <w:proofErr w:type="gramEnd"/>
            <w:r w:rsidR="00DD02DD">
              <w:rPr>
                <w:rFonts w:cs="Arial"/>
                <w:sz w:val="22"/>
                <w:szCs w:val="24"/>
              </w:rPr>
              <w:t xml:space="preserve"> bung </w:t>
            </w:r>
            <w:r>
              <w:rPr>
                <w:rFonts w:cs="Arial"/>
                <w:sz w:val="22"/>
                <w:szCs w:val="24"/>
              </w:rPr>
              <w:t>attached</w:t>
            </w:r>
            <w:r w:rsidR="00DD02DD">
              <w:rPr>
                <w:rFonts w:cs="Arial"/>
                <w:sz w:val="22"/>
                <w:szCs w:val="24"/>
              </w:rPr>
              <w:t xml:space="preserve"> (if required)</w:t>
            </w:r>
            <w:r w:rsidR="002B4E86">
              <w:rPr>
                <w:rFonts w:cs="Arial"/>
                <w:sz w:val="22"/>
                <w:szCs w:val="24"/>
              </w:rPr>
              <w:t xml:space="preserve"> &amp; dressing applied</w:t>
            </w:r>
          </w:p>
        </w:tc>
        <w:tc>
          <w:tcPr>
            <w:tcW w:w="448" w:type="pct"/>
          </w:tcPr>
          <w:p w14:paraId="2AC18D00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6F9191CC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011E93C8" w14:textId="6DEE0EAD" w:rsidR="00DF2A7C" w:rsidRPr="0044158F" w:rsidRDefault="002B4E86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Documentation complete</w:t>
            </w:r>
          </w:p>
        </w:tc>
        <w:tc>
          <w:tcPr>
            <w:tcW w:w="448" w:type="pct"/>
          </w:tcPr>
          <w:p w14:paraId="0D1812B0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4656" w:type="pct"/>
        <w:tblLook w:val="04A0" w:firstRow="1" w:lastRow="0" w:firstColumn="1" w:lastColumn="0" w:noHBand="0" w:noVBand="1"/>
      </w:tblPr>
      <w:tblGrid>
        <w:gridCol w:w="5666"/>
        <w:gridCol w:w="13"/>
        <w:gridCol w:w="3814"/>
      </w:tblGrid>
      <w:tr w:rsidR="001405A6" w:rsidRPr="00EF517D" w14:paraId="33DACB4F" w14:textId="77777777" w:rsidTr="001B792A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494ACAD6" w14:textId="77777777" w:rsidR="008634C9" w:rsidRDefault="008634C9" w:rsidP="00977A7A"/>
          <w:p w14:paraId="58C8E957" w14:textId="77777777" w:rsidR="00267D00" w:rsidRDefault="00267D00" w:rsidP="00977A7A"/>
          <w:p w14:paraId="337EA524" w14:textId="77777777" w:rsidR="00267D00" w:rsidRPr="008D282E" w:rsidRDefault="00267D00" w:rsidP="00267D00">
            <w:pPr>
              <w:spacing w:line="360" w:lineRule="auto"/>
              <w:ind w:left="-709"/>
              <w:rPr>
                <w:rFonts w:cs="Arial"/>
                <w:sz w:val="22"/>
                <w:u w:val="single"/>
              </w:rPr>
            </w:pPr>
          </w:p>
          <w:p w14:paraId="65ACDE58" w14:textId="145089F4" w:rsidR="008634C9" w:rsidRPr="00EF517D" w:rsidRDefault="00267D00" w:rsidP="007F6F27">
            <w:pPr>
              <w:ind w:left="720"/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762BE5" w:rsidRPr="00EF517D" w14:paraId="4088373A" w14:textId="77777777" w:rsidTr="00762BE5">
        <w:tc>
          <w:tcPr>
            <w:tcW w:w="2991" w:type="pct"/>
            <w:gridSpan w:val="2"/>
            <w:shd w:val="clear" w:color="auto" w:fill="auto"/>
          </w:tcPr>
          <w:p w14:paraId="2850DC26" w14:textId="3D92303C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009" w:type="pct"/>
          </w:tcPr>
          <w:p w14:paraId="2C0E6D6A" w14:textId="73036419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762BE5">
        <w:tc>
          <w:tcPr>
            <w:tcW w:w="2984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016" w:type="pct"/>
            <w:gridSpan w:val="2"/>
          </w:tcPr>
          <w:p w14:paraId="783C491E" w14:textId="6B4F542F" w:rsidR="0044158F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2D45F294" w14:textId="77777777" w:rsidR="0044158F" w:rsidRDefault="0044158F" w:rsidP="00CC5EE7"/>
    <w:p w14:paraId="679957AF" w14:textId="77777777" w:rsidR="0044158F" w:rsidRPr="003230FA" w:rsidRDefault="00CC5EE7" w:rsidP="00CC5EE7">
      <w:pPr>
        <w:rPr>
          <w:sz w:val="22"/>
          <w:szCs w:val="20"/>
        </w:rPr>
      </w:pPr>
      <w:r w:rsidRPr="003230FA">
        <w:rPr>
          <w:sz w:val="22"/>
          <w:szCs w:val="20"/>
        </w:rPr>
        <w:t>This document can be made available in alternative formats on request.</w:t>
      </w:r>
    </w:p>
    <w:p w14:paraId="19F72B36" w14:textId="6F77F25A" w:rsidR="00CC5EE7" w:rsidRPr="003230FA" w:rsidRDefault="00CC5EE7" w:rsidP="00CC5EE7">
      <w:pPr>
        <w:rPr>
          <w:sz w:val="22"/>
          <w:szCs w:val="20"/>
        </w:rPr>
      </w:pPr>
      <w:r w:rsidRPr="003230FA">
        <w:rPr>
          <w:sz w:val="22"/>
          <w:szCs w:val="20"/>
        </w:rPr>
        <w:t>© North Metropolitan Health Service 202</w:t>
      </w:r>
      <w:r w:rsidR="0044158F" w:rsidRPr="003230FA">
        <w:rPr>
          <w:sz w:val="22"/>
          <w:szCs w:val="20"/>
        </w:rPr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3"/>
      <w:headerReference w:type="default" r:id="rId14"/>
      <w:headerReference w:type="first" r:id="rId15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0570" w14:textId="77777777" w:rsidR="002E3E37" w:rsidRDefault="002E3E37" w:rsidP="00613AB2">
      <w:r>
        <w:separator/>
      </w:r>
    </w:p>
  </w:endnote>
  <w:endnote w:type="continuationSeparator" w:id="0">
    <w:p w14:paraId="032DF4E2" w14:textId="77777777" w:rsidR="002E3E37" w:rsidRDefault="002E3E37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CA34" w14:textId="77777777" w:rsidR="002E3E37" w:rsidRDefault="002E3E37" w:rsidP="00613AB2">
      <w:r>
        <w:separator/>
      </w:r>
    </w:p>
  </w:footnote>
  <w:footnote w:type="continuationSeparator" w:id="0">
    <w:p w14:paraId="6FEF788F" w14:textId="77777777" w:rsidR="002E3E37" w:rsidRDefault="002E3E37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 w15:restartNumberingAfterBreak="0">
    <w:nsid w:val="348F02BA"/>
    <w:multiLevelType w:val="hybridMultilevel"/>
    <w:tmpl w:val="A6602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2244">
    <w:abstractNumId w:val="14"/>
  </w:num>
  <w:num w:numId="2" w16cid:durableId="1373533508">
    <w:abstractNumId w:val="9"/>
  </w:num>
  <w:num w:numId="3" w16cid:durableId="2104835267">
    <w:abstractNumId w:val="8"/>
  </w:num>
  <w:num w:numId="4" w16cid:durableId="10032554">
    <w:abstractNumId w:val="2"/>
  </w:num>
  <w:num w:numId="5" w16cid:durableId="1706253292">
    <w:abstractNumId w:val="4"/>
  </w:num>
  <w:num w:numId="6" w16cid:durableId="1340232805">
    <w:abstractNumId w:val="15"/>
  </w:num>
  <w:num w:numId="7" w16cid:durableId="217017356">
    <w:abstractNumId w:val="0"/>
  </w:num>
  <w:num w:numId="8" w16cid:durableId="929044250">
    <w:abstractNumId w:val="11"/>
  </w:num>
  <w:num w:numId="9" w16cid:durableId="102194149">
    <w:abstractNumId w:val="10"/>
  </w:num>
  <w:num w:numId="10" w16cid:durableId="963733631">
    <w:abstractNumId w:val="18"/>
  </w:num>
  <w:num w:numId="11" w16cid:durableId="898595570">
    <w:abstractNumId w:val="3"/>
  </w:num>
  <w:num w:numId="12" w16cid:durableId="41709590">
    <w:abstractNumId w:val="16"/>
  </w:num>
  <w:num w:numId="13" w16cid:durableId="1154953350">
    <w:abstractNumId w:val="19"/>
  </w:num>
  <w:num w:numId="14" w16cid:durableId="1732774617">
    <w:abstractNumId w:val="12"/>
  </w:num>
  <w:num w:numId="15" w16cid:durableId="312611781">
    <w:abstractNumId w:val="5"/>
  </w:num>
  <w:num w:numId="16" w16cid:durableId="1394618930">
    <w:abstractNumId w:val="17"/>
  </w:num>
  <w:num w:numId="17" w16cid:durableId="283460182">
    <w:abstractNumId w:val="6"/>
  </w:num>
  <w:num w:numId="18" w16cid:durableId="2073648514">
    <w:abstractNumId w:val="1"/>
  </w:num>
  <w:num w:numId="19" w16cid:durableId="728305293">
    <w:abstractNumId w:val="13"/>
  </w:num>
  <w:num w:numId="20" w16cid:durableId="8787358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11C46"/>
    <w:rsid w:val="00024862"/>
    <w:rsid w:val="00025386"/>
    <w:rsid w:val="00033095"/>
    <w:rsid w:val="000610D2"/>
    <w:rsid w:val="000E4B87"/>
    <w:rsid w:val="000F3666"/>
    <w:rsid w:val="00103E66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702E"/>
    <w:rsid w:val="001B792A"/>
    <w:rsid w:val="001C7D1F"/>
    <w:rsid w:val="001F3DED"/>
    <w:rsid w:val="001F6030"/>
    <w:rsid w:val="001F68E9"/>
    <w:rsid w:val="00202688"/>
    <w:rsid w:val="00212147"/>
    <w:rsid w:val="00220E8F"/>
    <w:rsid w:val="0023092A"/>
    <w:rsid w:val="00267D00"/>
    <w:rsid w:val="00290871"/>
    <w:rsid w:val="002A54A2"/>
    <w:rsid w:val="002B1530"/>
    <w:rsid w:val="002B4E86"/>
    <w:rsid w:val="002C7D7D"/>
    <w:rsid w:val="002E3E37"/>
    <w:rsid w:val="002E5F5B"/>
    <w:rsid w:val="002E751D"/>
    <w:rsid w:val="00314C7C"/>
    <w:rsid w:val="003230FA"/>
    <w:rsid w:val="00333649"/>
    <w:rsid w:val="00340CDB"/>
    <w:rsid w:val="00355004"/>
    <w:rsid w:val="003929E7"/>
    <w:rsid w:val="00396281"/>
    <w:rsid w:val="003A71C5"/>
    <w:rsid w:val="003B76E3"/>
    <w:rsid w:val="003E59F2"/>
    <w:rsid w:val="003F66B3"/>
    <w:rsid w:val="00426C7A"/>
    <w:rsid w:val="0044158F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5497"/>
    <w:rsid w:val="00557818"/>
    <w:rsid w:val="005601E6"/>
    <w:rsid w:val="0056716B"/>
    <w:rsid w:val="00587BF5"/>
    <w:rsid w:val="005A409E"/>
    <w:rsid w:val="005D455D"/>
    <w:rsid w:val="00613AB2"/>
    <w:rsid w:val="00635297"/>
    <w:rsid w:val="006422CC"/>
    <w:rsid w:val="006A28A8"/>
    <w:rsid w:val="006C1631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62BE5"/>
    <w:rsid w:val="0077027C"/>
    <w:rsid w:val="007A46E7"/>
    <w:rsid w:val="007A72D9"/>
    <w:rsid w:val="007D3AE7"/>
    <w:rsid w:val="007D793C"/>
    <w:rsid w:val="007E51D8"/>
    <w:rsid w:val="007F2AD9"/>
    <w:rsid w:val="007F6F27"/>
    <w:rsid w:val="00805888"/>
    <w:rsid w:val="008146FC"/>
    <w:rsid w:val="00821645"/>
    <w:rsid w:val="008634C9"/>
    <w:rsid w:val="00873B70"/>
    <w:rsid w:val="00881846"/>
    <w:rsid w:val="00882643"/>
    <w:rsid w:val="00893E19"/>
    <w:rsid w:val="00897837"/>
    <w:rsid w:val="008B13EA"/>
    <w:rsid w:val="008B57B1"/>
    <w:rsid w:val="008C14AA"/>
    <w:rsid w:val="008F7C0F"/>
    <w:rsid w:val="008F7FE4"/>
    <w:rsid w:val="0090330B"/>
    <w:rsid w:val="00916CF6"/>
    <w:rsid w:val="009256D5"/>
    <w:rsid w:val="009268E4"/>
    <w:rsid w:val="00930DF8"/>
    <w:rsid w:val="0094549C"/>
    <w:rsid w:val="009668ED"/>
    <w:rsid w:val="00981715"/>
    <w:rsid w:val="00981DA1"/>
    <w:rsid w:val="00990D6C"/>
    <w:rsid w:val="00996273"/>
    <w:rsid w:val="009A1141"/>
    <w:rsid w:val="009A634A"/>
    <w:rsid w:val="009A7F7B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D694F"/>
    <w:rsid w:val="00AF0C79"/>
    <w:rsid w:val="00B20476"/>
    <w:rsid w:val="00B21721"/>
    <w:rsid w:val="00B21ED2"/>
    <w:rsid w:val="00B4214A"/>
    <w:rsid w:val="00B51F7F"/>
    <w:rsid w:val="00B5682E"/>
    <w:rsid w:val="00B74403"/>
    <w:rsid w:val="00BA3DD7"/>
    <w:rsid w:val="00BB5682"/>
    <w:rsid w:val="00BB59B3"/>
    <w:rsid w:val="00BD41EB"/>
    <w:rsid w:val="00BD7C33"/>
    <w:rsid w:val="00BE3C2D"/>
    <w:rsid w:val="00BF7632"/>
    <w:rsid w:val="00C05DD4"/>
    <w:rsid w:val="00C13151"/>
    <w:rsid w:val="00C1322A"/>
    <w:rsid w:val="00C232D0"/>
    <w:rsid w:val="00C2697E"/>
    <w:rsid w:val="00C7143D"/>
    <w:rsid w:val="00C729CE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948A8"/>
    <w:rsid w:val="00DB0B5A"/>
    <w:rsid w:val="00DC6C02"/>
    <w:rsid w:val="00DD02DD"/>
    <w:rsid w:val="00DD22D0"/>
    <w:rsid w:val="00DE4BFE"/>
    <w:rsid w:val="00DF2A7C"/>
    <w:rsid w:val="00E17204"/>
    <w:rsid w:val="00E40563"/>
    <w:rsid w:val="00E47483"/>
    <w:rsid w:val="00E54383"/>
    <w:rsid w:val="00E846EA"/>
    <w:rsid w:val="00EB0A2C"/>
    <w:rsid w:val="00EC02E2"/>
    <w:rsid w:val="00ED062B"/>
    <w:rsid w:val="00F053DB"/>
    <w:rsid w:val="00F201F2"/>
    <w:rsid w:val="00F2514E"/>
    <w:rsid w:val="00F442A0"/>
    <w:rsid w:val="00F47422"/>
    <w:rsid w:val="00F568AF"/>
    <w:rsid w:val="00F647BD"/>
    <w:rsid w:val="00F665AF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arning.health.wa.gov.au/ilp/pages/description.jsf?menuId=1108&amp;client=nmh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2.health.wa.gov.au/~/media/Files/Corporate/Policy%20Frameworks/Public%20Health/Policy/Insertion%20and%20Management%20of%20Peripheral%20Intravenous%20Cannulae/MP38-Insertion-and-Management-of-Peripheral-Intravenous-Cannulae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Tielemans, Mairi</cp:lastModifiedBy>
  <cp:revision>10</cp:revision>
  <cp:lastPrinted>2024-11-06T03:22:00Z</cp:lastPrinted>
  <dcterms:created xsi:type="dcterms:W3CDTF">2024-11-18T00:06:00Z</dcterms:created>
  <dcterms:modified xsi:type="dcterms:W3CDTF">2024-11-25T03:44:00Z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